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51555C"/>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FORM 8-K</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7"/>
          <w:szCs w:val="17"/>
          <w:color w:val="51555C"/>
        </w:rPr>
        <w:t>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 xml:space="preserve">Date of Report (Date of earliest event reported): </w:t>
      </w:r>
      <w:r>
        <w:rPr>
          <w:rFonts w:ascii="Arial" w:cs="Arial" w:eastAsia="Arial" w:hAnsi="Arial"/>
          <w:sz w:val="18"/>
          <w:szCs w:val="18"/>
          <w:b w:val="1"/>
          <w:bCs w:val="1"/>
          <w:color w:val="51555C"/>
        </w:rPr>
        <w:t>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172085</wp:posOffset>
            </wp:positionV>
            <wp:extent cx="245173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137795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51555C"/>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51555C"/>
        </w:rPr>
        <w:t>000-50600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7"/>
          <w:szCs w:val="17"/>
          <w:b w:val="1"/>
          <w:bCs w:val="1"/>
          <w:color w:val="51555C"/>
        </w:rPr>
        <w:t>11-2617163</w:t>
      </w:r>
    </w:p>
    <w:p>
      <w:pPr>
        <w:spacing w:after="0" w:line="129" w:lineRule="exact"/>
        <w:rPr>
          <w:sz w:val="24"/>
          <w:szCs w:val="24"/>
          <w:color w:val="auto"/>
        </w:rPr>
      </w:pPr>
    </w:p>
    <w:p>
      <w:pPr>
        <w:sectPr>
          <w:pgSz w:w="11900" w:h="16838" w:orient="portrait"/>
          <w:cols w:equalWidth="0" w:num="3">
            <w:col w:w="4460" w:space="720"/>
            <w:col w:w="2980" w:space="720"/>
            <w:col w:w="2360"/>
          </w:cols>
          <w:pgMar w:left="320" w:top="1052"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51555C"/>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51555C"/>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51555C"/>
        </w:rPr>
        <w:t>(IRS Employer ID Number)</w:t>
      </w:r>
    </w:p>
    <w:p>
      <w:pPr>
        <w:spacing w:after="0" w:line="200" w:lineRule="exact"/>
        <w:rPr>
          <w:sz w:val="24"/>
          <w:szCs w:val="24"/>
          <w:color w:val="auto"/>
        </w:rPr>
      </w:pPr>
    </w:p>
    <w:p>
      <w:pPr>
        <w:sectPr>
          <w:pgSz w:w="11900" w:h="16838" w:orient="portrait"/>
          <w:cols w:equalWidth="0" w:num="3">
            <w:col w:w="3820" w:space="720"/>
            <w:col w:w="3020" w:space="720"/>
            <w:col w:w="2960"/>
          </w:cols>
          <w:pgMar w:left="320" w:top="1052" w:right="3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65 Fairchild Street, Charleston, South Carolina 29492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(Address of principal executive offices) (Zip Code)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 xml:space="preserve">Registrant’s telephone number, including area code: </w:t>
      </w:r>
      <w:r>
        <w:rPr>
          <w:rFonts w:ascii="Arial" w:cs="Arial" w:eastAsia="Arial" w:hAnsi="Arial"/>
          <w:sz w:val="18"/>
          <w:szCs w:val="18"/>
          <w:b w:val="1"/>
          <w:bCs w:val="1"/>
          <w:color w:val="51555C"/>
        </w:rPr>
        <w:t>(843) 216-6200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137795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23430" cy="1217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217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0" w:right="240"/>
        <w:spacing w:after="0" w:line="296" w:lineRule="auto"/>
        <w:rPr>
          <w:sz w:val="20"/>
          <w:szCs w:val="20"/>
          <w:color w:val="auto"/>
        </w:rPr>
      </w:pPr>
      <w:r>
        <w:rPr>
          <w:rFonts w:ascii="Arial" w:cs="Arial" w:eastAsia="Arial" w:hAnsi="Arial"/>
          <w:sz w:val="18"/>
          <w:szCs w:val="18"/>
          <w:b w:val="1"/>
          <w:bCs w:val="1"/>
          <w:color w:val="51555C"/>
        </w:rPr>
        <w:t>Check the appropriate box below if the Form 8-K filing is intended to simultaneously satisfy the filing obligation of the registrant under any of the following provisions:</w:t>
      </w:r>
    </w:p>
    <w:p>
      <w:pPr>
        <w:spacing w:after="0" w:line="43"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Written communications pursuant to Rule 425 under the Securities Act (17 CFR 230.425)</w:t>
      </w:r>
    </w:p>
    <w:p>
      <w:pPr>
        <w:spacing w:after="0" w:line="130"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Soliciting material pursuant to Rule 14a-12 under the Exchange Act (17 CFR 240.14a-12)</w:t>
      </w:r>
    </w:p>
    <w:p>
      <w:pPr>
        <w:spacing w:after="0" w:line="130"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214630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40"/>
        <w:spacing w:after="0"/>
        <w:rPr>
          <w:sz w:val="20"/>
          <w:szCs w:val="20"/>
          <w:color w:val="auto"/>
        </w:rPr>
      </w:pPr>
      <w:r>
        <w:rPr>
          <w:rFonts w:ascii="Arial" w:cs="Arial" w:eastAsia="Arial" w:hAnsi="Arial"/>
          <w:sz w:val="18"/>
          <w:szCs w:val="18"/>
          <w:color w:val="51555C"/>
        </w:rPr>
        <w:t>Securities Registered Pursuant to Section 12(b) of the Act:</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51555C"/>
                <w:w w:val="99"/>
              </w:rPr>
              <w:t>Title of Each Class</w:t>
            </w:r>
          </w:p>
        </w:tc>
        <w:tc>
          <w:tcPr>
            <w:tcW w:w="1920" w:type="dxa"/>
            <w:vAlign w:val="bottom"/>
          </w:tcPr>
          <w:p>
            <w:pPr>
              <w:spacing w:after="0"/>
              <w:rPr>
                <w:sz w:val="18"/>
                <w:szCs w:val="18"/>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color w:val="51555C"/>
                <w:w w:val="99"/>
              </w:rPr>
              <w:t>Trading Symbol(s)</w:t>
            </w:r>
          </w:p>
        </w:tc>
        <w:tc>
          <w:tcPr>
            <w:tcW w:w="4020" w:type="dxa"/>
            <w:vAlign w:val="bottom"/>
            <w:gridSpan w:val="2"/>
          </w:tcPr>
          <w:p>
            <w:pPr>
              <w:jc w:val="center"/>
              <w:ind w:right="360"/>
              <w:spacing w:after="0"/>
              <w:rPr>
                <w:sz w:val="20"/>
                <w:szCs w:val="20"/>
                <w:color w:val="auto"/>
              </w:rPr>
            </w:pPr>
            <w:r>
              <w:rPr>
                <w:rFonts w:ascii="Arial" w:cs="Arial" w:eastAsia="Arial" w:hAnsi="Arial"/>
                <w:sz w:val="18"/>
                <w:szCs w:val="18"/>
                <w:color w:val="51555C"/>
                <w:w w:val="99"/>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51555C"/>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shd w:val="clear" w:color="auto" w:fill="51555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60" w:type="dxa"/>
            <w:vAlign w:val="bottom"/>
            <w:shd w:val="clear" w:color="auto" w:fill="51555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6"/>
        </w:trPr>
        <w:tc>
          <w:tcPr>
            <w:tcW w:w="48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51555C"/>
                <w:w w:val="99"/>
              </w:rPr>
              <w:t>Common Stock, $0.001 Par Value</w:t>
            </w: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51555C"/>
                <w:w w:val="99"/>
              </w:rPr>
              <w:t>BLKB</w:t>
            </w:r>
          </w:p>
        </w:tc>
        <w:tc>
          <w:tcPr>
            <w:tcW w:w="4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51555C"/>
                <w:w w:val="99"/>
              </w:rPr>
              <w:t>Nasdaq Global Select Market</w:t>
            </w:r>
          </w:p>
        </w:tc>
      </w:tr>
      <w:tr>
        <w:trPr>
          <w:trHeight w:val="69"/>
        </w:trPr>
        <w:tc>
          <w:tcPr>
            <w:tcW w:w="13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r>
    </w:tbl>
    <w:p>
      <w:pPr>
        <w:spacing w:after="0" w:line="238" w:lineRule="exact"/>
        <w:rPr>
          <w:sz w:val="24"/>
          <w:szCs w:val="24"/>
          <w:color w:val="auto"/>
        </w:rPr>
      </w:pPr>
    </w:p>
    <w:p>
      <w:pPr>
        <w:jc w:val="both"/>
        <w:ind w:right="20"/>
        <w:spacing w:after="0" w:line="287" w:lineRule="auto"/>
        <w:rPr>
          <w:sz w:val="20"/>
          <w:szCs w:val="20"/>
          <w:color w:val="auto"/>
        </w:rPr>
      </w:pPr>
      <w:r>
        <w:rPr>
          <w:rFonts w:ascii="Arial" w:cs="Arial" w:eastAsia="Arial" w:hAnsi="Arial"/>
          <w:sz w:val="18"/>
          <w:szCs w:val="18"/>
          <w:color w:val="51555C"/>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51555C"/>
        </w:rPr>
        <w:t xml:space="preserve">Emerging growth company </w:t>
      </w:r>
      <w:r>
        <w:rPr>
          <w:rFonts w:ascii="MS PGothic" w:cs="MS PGothic" w:eastAsia="MS PGothic" w:hAnsi="MS PGothic"/>
          <w:sz w:val="18"/>
          <w:szCs w:val="18"/>
          <w:color w:val="51555C"/>
        </w:rPr>
        <w:t>☐</w:t>
      </w:r>
    </w:p>
    <w:p>
      <w:pPr>
        <w:spacing w:after="0" w:line="211" w:lineRule="exact"/>
        <w:rPr>
          <w:sz w:val="24"/>
          <w:szCs w:val="24"/>
          <w:color w:val="auto"/>
        </w:rPr>
      </w:pPr>
    </w:p>
    <w:p>
      <w:pPr>
        <w:jc w:val="both"/>
        <w:spacing w:after="0" w:line="239" w:lineRule="exact"/>
        <w:rPr>
          <w:sz w:val="20"/>
          <w:szCs w:val="20"/>
          <w:color w:val="auto"/>
        </w:rPr>
      </w:pPr>
      <w:r>
        <w:rPr>
          <w:rFonts w:ascii="Arial" w:cs="Arial" w:eastAsia="Arial" w:hAnsi="Arial"/>
          <w:sz w:val="18"/>
          <w:szCs w:val="18"/>
          <w:color w:val="51555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51555C"/>
        </w:rPr>
        <w:t>Item 5.07. Submission of Matters to a Vote of Security Holders.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Blackbaud, Inc. ("</w:t>
      </w:r>
      <w:r>
        <w:rPr>
          <w:rFonts w:ascii="Arial" w:cs="Arial" w:eastAsia="Arial" w:hAnsi="Arial"/>
          <w:sz w:val="18"/>
          <w:szCs w:val="18"/>
          <w:b w:val="1"/>
          <w:bCs w:val="1"/>
          <w:u w:val="single" w:color="auto"/>
          <w:color w:val="51555C"/>
        </w:rPr>
        <w:t>Blackbaud</w:t>
      </w:r>
      <w:r>
        <w:rPr>
          <w:rFonts w:ascii="Arial" w:cs="Arial" w:eastAsia="Arial" w:hAnsi="Arial"/>
          <w:sz w:val="18"/>
          <w:szCs w:val="18"/>
          <w:color w:val="51555C"/>
        </w:rPr>
        <w:t>" or the “</w:t>
      </w:r>
      <w:r>
        <w:rPr>
          <w:rFonts w:ascii="Arial" w:cs="Arial" w:eastAsia="Arial" w:hAnsi="Arial"/>
          <w:sz w:val="18"/>
          <w:szCs w:val="18"/>
          <w:b w:val="1"/>
          <w:bCs w:val="1"/>
          <w:u w:val="single" w:color="auto"/>
          <w:color w:val="51555C"/>
        </w:rPr>
        <w:t>Company</w:t>
      </w:r>
      <w:r>
        <w:rPr>
          <w:rFonts w:ascii="Arial" w:cs="Arial" w:eastAsia="Arial" w:hAnsi="Arial"/>
          <w:sz w:val="18"/>
          <w:szCs w:val="18"/>
          <w:color w:val="51555C"/>
        </w:rPr>
        <w:t>”) held its 2026 annual meeting of stockholders on June 10, 2026. The results of the matters submitted to a vote of the Company stockholders at the meeting are set forth below.</w:t>
      </w:r>
    </w:p>
    <w:p>
      <w:pPr>
        <w:spacing w:after="0" w:line="9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u w:val="single" w:color="auto"/>
          <w:color w:val="51555C"/>
        </w:rPr>
        <w:t>Proposal 1 - Advisory Vote to Approve Named Executive Officer Compensation.</w:t>
      </w:r>
      <w:r>
        <w:rPr>
          <w:rFonts w:ascii="Arial" w:cs="Arial" w:eastAsia="Arial" w:hAnsi="Arial"/>
          <w:sz w:val="18"/>
          <w:szCs w:val="18"/>
          <w:b w:val="1"/>
          <w:bCs w:val="1"/>
          <w:color w:val="51555C"/>
        </w:rPr>
        <w:t xml:space="preserve"> </w:t>
      </w:r>
      <w:r>
        <w:rPr>
          <w:rFonts w:ascii="Arial" w:cs="Arial" w:eastAsia="Arial" w:hAnsi="Arial"/>
          <w:sz w:val="18"/>
          <w:szCs w:val="18"/>
          <w:color w:val="51555C"/>
        </w:rPr>
        <w:t>Stockholders approved on an advisory basis the 2025</w:t>
      </w:r>
      <w:r>
        <w:rPr>
          <w:rFonts w:ascii="Arial" w:cs="Arial" w:eastAsia="Arial" w:hAnsi="Arial"/>
          <w:sz w:val="18"/>
          <w:szCs w:val="18"/>
          <w:b w:val="1"/>
          <w:bCs w:val="1"/>
          <w:color w:val="51555C"/>
        </w:rPr>
        <w:t xml:space="preserve"> </w:t>
      </w:r>
      <w:r>
        <w:rPr>
          <w:rFonts w:ascii="Arial" w:cs="Arial" w:eastAsia="Arial" w:hAnsi="Arial"/>
          <w:sz w:val="18"/>
          <w:szCs w:val="18"/>
          <w:color w:val="51555C"/>
        </w:rPr>
        <w:t>compensation of the Company’s named executive officers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Votes Cast For</w:t>
            </w:r>
          </w:p>
        </w:tc>
        <w:tc>
          <w:tcPr>
            <w:tcW w:w="5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30,822,300</w:t>
            </w:r>
          </w:p>
        </w:tc>
      </w:tr>
      <w:tr>
        <w:trPr>
          <w:trHeight w:val="301"/>
        </w:trPr>
        <w:tc>
          <w:tcPr>
            <w:tcW w:w="5900" w:type="dxa"/>
            <w:vAlign w:val="bottom"/>
          </w:tcPr>
          <w:p>
            <w:pPr>
              <w:ind w:left="20"/>
              <w:spacing w:after="0"/>
              <w:rPr>
                <w:sz w:val="20"/>
                <w:szCs w:val="20"/>
                <w:color w:val="auto"/>
              </w:rPr>
            </w:pPr>
            <w:r>
              <w:rPr>
                <w:rFonts w:ascii="Arial" w:cs="Arial" w:eastAsia="Arial" w:hAnsi="Arial"/>
                <w:sz w:val="18"/>
                <w:szCs w:val="18"/>
                <w:color w:val="51555C"/>
              </w:rPr>
              <w:t>Votes Cast Against</w:t>
            </w:r>
          </w:p>
        </w:tc>
        <w:tc>
          <w:tcPr>
            <w:tcW w:w="5320" w:type="dxa"/>
            <w:vAlign w:val="bottom"/>
          </w:tcPr>
          <w:p>
            <w:pPr>
              <w:jc w:val="right"/>
              <w:spacing w:after="0"/>
              <w:rPr>
                <w:sz w:val="20"/>
                <w:szCs w:val="20"/>
                <w:color w:val="auto"/>
              </w:rPr>
            </w:pPr>
            <w:r>
              <w:rPr>
                <w:rFonts w:ascii="Arial" w:cs="Arial" w:eastAsia="Arial" w:hAnsi="Arial"/>
                <w:sz w:val="18"/>
                <w:szCs w:val="18"/>
                <w:color w:val="51555C"/>
              </w:rPr>
              <w:t>519,936</w:t>
            </w:r>
          </w:p>
        </w:tc>
      </w:tr>
      <w:tr>
        <w:trPr>
          <w:trHeight w:val="23"/>
        </w:trPr>
        <w:tc>
          <w:tcPr>
            <w:tcW w:w="590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304"/>
        </w:trPr>
        <w:tc>
          <w:tcPr>
            <w:tcW w:w="5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Abstentions</w:t>
            </w:r>
          </w:p>
        </w:tc>
        <w:tc>
          <w:tcPr>
            <w:tcW w:w="5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32,045</w:t>
            </w:r>
          </w:p>
        </w:tc>
      </w:tr>
      <w:tr>
        <w:trPr>
          <w:trHeight w:val="301"/>
        </w:trPr>
        <w:tc>
          <w:tcPr>
            <w:tcW w:w="5900" w:type="dxa"/>
            <w:vAlign w:val="bottom"/>
          </w:tcPr>
          <w:p>
            <w:pPr>
              <w:ind w:left="20"/>
              <w:spacing w:after="0"/>
              <w:rPr>
                <w:sz w:val="20"/>
                <w:szCs w:val="20"/>
                <w:color w:val="auto"/>
              </w:rPr>
            </w:pPr>
            <w:r>
              <w:rPr>
                <w:rFonts w:ascii="Arial" w:cs="Arial" w:eastAsia="Arial" w:hAnsi="Arial"/>
                <w:sz w:val="18"/>
                <w:szCs w:val="18"/>
                <w:color w:val="51555C"/>
              </w:rPr>
              <w:t>Broker Non-Votes</w:t>
            </w:r>
          </w:p>
        </w:tc>
        <w:tc>
          <w:tcPr>
            <w:tcW w:w="5320" w:type="dxa"/>
            <w:vAlign w:val="bottom"/>
          </w:tcPr>
          <w:p>
            <w:pPr>
              <w:jc w:val="right"/>
              <w:spacing w:after="0"/>
              <w:rPr>
                <w:sz w:val="20"/>
                <w:szCs w:val="20"/>
                <w:color w:val="auto"/>
              </w:rPr>
            </w:pPr>
            <w:r>
              <w:rPr>
                <w:rFonts w:ascii="Arial" w:cs="Arial" w:eastAsia="Arial" w:hAnsi="Arial"/>
                <w:sz w:val="18"/>
                <w:szCs w:val="18"/>
                <w:color w:val="51555C"/>
              </w:rPr>
              <w:t>11,770,010</w:t>
            </w:r>
          </w:p>
        </w:tc>
      </w:tr>
      <w:tr>
        <w:trPr>
          <w:trHeight w:val="23"/>
        </w:trPr>
        <w:tc>
          <w:tcPr>
            <w:tcW w:w="5900" w:type="dxa"/>
            <w:vAlign w:val="bottom"/>
            <w:tcBorders>
              <w:bottom w:val="single" w:sz="8" w:color="0CD973"/>
            </w:tcBorders>
          </w:tcPr>
          <w:p>
            <w:pPr>
              <w:spacing w:after="0"/>
              <w:rPr>
                <w:sz w:val="2"/>
                <w:szCs w:val="2"/>
                <w:color w:val="auto"/>
              </w:rPr>
            </w:pPr>
          </w:p>
        </w:tc>
        <w:tc>
          <w:tcPr>
            <w:tcW w:w="5320" w:type="dxa"/>
            <w:vAlign w:val="bottom"/>
            <w:tcBorders>
              <w:bottom w:val="single" w:sz="8" w:color="0CD973"/>
            </w:tcBorders>
          </w:tcPr>
          <w:p>
            <w:pPr>
              <w:spacing w:after="0"/>
              <w:rPr>
                <w:sz w:val="2"/>
                <w:szCs w:val="2"/>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u w:val="single" w:color="auto"/>
          <w:color w:val="51555C"/>
        </w:rPr>
        <w:t>Proposal 2 - Vote to Approve the Amendment and Restatement of the Blackbaud, Inc. 2016 Equity and Incentive Compensation Plan.</w:t>
      </w:r>
      <w:r>
        <w:rPr>
          <w:rFonts w:ascii="Arial" w:cs="Arial" w:eastAsia="Arial" w:hAnsi="Arial"/>
          <w:sz w:val="18"/>
          <w:szCs w:val="18"/>
          <w:b w:val="1"/>
          <w:bCs w:val="1"/>
          <w:color w:val="51555C"/>
        </w:rPr>
        <w:t xml:space="preserve"> </w:t>
      </w:r>
      <w:r>
        <w:rPr>
          <w:rFonts w:ascii="Arial" w:cs="Arial" w:eastAsia="Arial" w:hAnsi="Arial"/>
          <w:sz w:val="18"/>
          <w:szCs w:val="18"/>
          <w:color w:val="51555C"/>
        </w:rPr>
        <w:t>Stockholders approved the amendment and restatement of the Blackbaud, Inc. 2016 Equity and Incentive Compensation Plan as</w:t>
      </w:r>
      <w:r>
        <w:rPr>
          <w:rFonts w:ascii="Arial" w:cs="Arial" w:eastAsia="Arial" w:hAnsi="Arial"/>
          <w:sz w:val="18"/>
          <w:szCs w:val="18"/>
          <w:b w:val="1"/>
          <w:bCs w:val="1"/>
          <w:color w:val="51555C"/>
        </w:rPr>
        <w:t xml:space="preserve"> </w:t>
      </w:r>
      <w:r>
        <w:rPr>
          <w:rFonts w:ascii="Arial" w:cs="Arial" w:eastAsia="Arial" w:hAnsi="Arial"/>
          <w:sz w:val="18"/>
          <w:szCs w:val="18"/>
          <w:color w:val="51555C"/>
        </w:rPr>
        <w:t>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Votes Cast For</w:t>
            </w:r>
          </w:p>
        </w:tc>
        <w:tc>
          <w:tcPr>
            <w:tcW w:w="5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30,347,408</w:t>
            </w:r>
          </w:p>
        </w:tc>
      </w:tr>
      <w:tr>
        <w:trPr>
          <w:trHeight w:val="301"/>
        </w:trPr>
        <w:tc>
          <w:tcPr>
            <w:tcW w:w="5900" w:type="dxa"/>
            <w:vAlign w:val="bottom"/>
          </w:tcPr>
          <w:p>
            <w:pPr>
              <w:ind w:left="20"/>
              <w:spacing w:after="0"/>
              <w:rPr>
                <w:sz w:val="20"/>
                <w:szCs w:val="20"/>
                <w:color w:val="auto"/>
              </w:rPr>
            </w:pPr>
            <w:r>
              <w:rPr>
                <w:rFonts w:ascii="Arial" w:cs="Arial" w:eastAsia="Arial" w:hAnsi="Arial"/>
                <w:sz w:val="18"/>
                <w:szCs w:val="18"/>
                <w:color w:val="51555C"/>
              </w:rPr>
              <w:t>Votes Cast Against</w:t>
            </w:r>
          </w:p>
        </w:tc>
        <w:tc>
          <w:tcPr>
            <w:tcW w:w="5320" w:type="dxa"/>
            <w:vAlign w:val="bottom"/>
          </w:tcPr>
          <w:p>
            <w:pPr>
              <w:jc w:val="right"/>
              <w:spacing w:after="0"/>
              <w:rPr>
                <w:sz w:val="20"/>
                <w:szCs w:val="20"/>
                <w:color w:val="auto"/>
              </w:rPr>
            </w:pPr>
            <w:r>
              <w:rPr>
                <w:rFonts w:ascii="Arial" w:cs="Arial" w:eastAsia="Arial" w:hAnsi="Arial"/>
                <w:sz w:val="18"/>
                <w:szCs w:val="18"/>
                <w:color w:val="51555C"/>
              </w:rPr>
              <w:t>996,738</w:t>
            </w:r>
          </w:p>
        </w:tc>
      </w:tr>
      <w:tr>
        <w:trPr>
          <w:trHeight w:val="23"/>
        </w:trPr>
        <w:tc>
          <w:tcPr>
            <w:tcW w:w="590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304"/>
        </w:trPr>
        <w:tc>
          <w:tcPr>
            <w:tcW w:w="5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Abstentions</w:t>
            </w:r>
          </w:p>
        </w:tc>
        <w:tc>
          <w:tcPr>
            <w:tcW w:w="5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30,135</w:t>
            </w:r>
          </w:p>
        </w:tc>
      </w:tr>
      <w:tr>
        <w:trPr>
          <w:trHeight w:val="301"/>
        </w:trPr>
        <w:tc>
          <w:tcPr>
            <w:tcW w:w="5900" w:type="dxa"/>
            <w:vAlign w:val="bottom"/>
          </w:tcPr>
          <w:p>
            <w:pPr>
              <w:ind w:left="20"/>
              <w:spacing w:after="0"/>
              <w:rPr>
                <w:sz w:val="20"/>
                <w:szCs w:val="20"/>
                <w:color w:val="auto"/>
              </w:rPr>
            </w:pPr>
            <w:r>
              <w:rPr>
                <w:rFonts w:ascii="Arial" w:cs="Arial" w:eastAsia="Arial" w:hAnsi="Arial"/>
                <w:sz w:val="18"/>
                <w:szCs w:val="18"/>
                <w:color w:val="51555C"/>
              </w:rPr>
              <w:t>Broker Non-Votes</w:t>
            </w:r>
          </w:p>
        </w:tc>
        <w:tc>
          <w:tcPr>
            <w:tcW w:w="5320" w:type="dxa"/>
            <w:vAlign w:val="bottom"/>
          </w:tcPr>
          <w:p>
            <w:pPr>
              <w:jc w:val="right"/>
              <w:spacing w:after="0"/>
              <w:rPr>
                <w:sz w:val="20"/>
                <w:szCs w:val="20"/>
                <w:color w:val="auto"/>
              </w:rPr>
            </w:pPr>
            <w:r>
              <w:rPr>
                <w:rFonts w:ascii="Arial" w:cs="Arial" w:eastAsia="Arial" w:hAnsi="Arial"/>
                <w:sz w:val="18"/>
                <w:szCs w:val="18"/>
                <w:color w:val="51555C"/>
              </w:rPr>
              <w:t>11,770,010</w:t>
            </w:r>
          </w:p>
        </w:tc>
      </w:tr>
      <w:tr>
        <w:trPr>
          <w:trHeight w:val="23"/>
        </w:trPr>
        <w:tc>
          <w:tcPr>
            <w:tcW w:w="5900" w:type="dxa"/>
            <w:vAlign w:val="bottom"/>
            <w:tcBorders>
              <w:bottom w:val="single" w:sz="8" w:color="0CD973"/>
            </w:tcBorders>
          </w:tcPr>
          <w:p>
            <w:pPr>
              <w:spacing w:after="0"/>
              <w:rPr>
                <w:sz w:val="2"/>
                <w:szCs w:val="2"/>
                <w:color w:val="auto"/>
              </w:rPr>
            </w:pPr>
          </w:p>
        </w:tc>
        <w:tc>
          <w:tcPr>
            <w:tcW w:w="5320" w:type="dxa"/>
            <w:vAlign w:val="bottom"/>
            <w:tcBorders>
              <w:bottom w:val="single" w:sz="8" w:color="0CD973"/>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51555C"/>
        </w:rPr>
        <w:t>Proposal 3 - Ratification of Appointment of Independent Registered Public Accounting Firm.</w:t>
      </w:r>
      <w:r>
        <w:rPr>
          <w:rFonts w:ascii="Arial" w:cs="Arial" w:eastAsia="Arial" w:hAnsi="Arial"/>
          <w:sz w:val="18"/>
          <w:szCs w:val="18"/>
          <w:b w:val="1"/>
          <w:bCs w:val="1"/>
          <w:color w:val="51555C"/>
        </w:rPr>
        <w:t xml:space="preserve"> </w:t>
      </w:r>
      <w:r>
        <w:rPr>
          <w:rFonts w:ascii="Arial" w:cs="Arial" w:eastAsia="Arial" w:hAnsi="Arial"/>
          <w:sz w:val="18"/>
          <w:szCs w:val="18"/>
          <w:color w:val="51555C"/>
        </w:rPr>
        <w:t>Stockholders ratified the appointment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51555C"/>
        </w:rPr>
        <w:t>Ernst &amp; Young LLP as the Company's independent registered public accounting firm for the fiscal year ending December 31, 2026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Votes Cast For</w:t>
            </w:r>
          </w:p>
        </w:tc>
        <w:tc>
          <w:tcPr>
            <w:tcW w:w="5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43,066,803</w:t>
            </w:r>
          </w:p>
        </w:tc>
        <w:tc>
          <w:tcPr>
            <w:tcW w:w="20" w:type="dxa"/>
            <w:vAlign w:val="bottom"/>
          </w:tcPr>
          <w:p>
            <w:pPr>
              <w:spacing w:after="0"/>
              <w:rPr>
                <w:sz w:val="24"/>
                <w:szCs w:val="24"/>
                <w:color w:val="auto"/>
              </w:rPr>
            </w:pPr>
          </w:p>
        </w:tc>
      </w:tr>
      <w:tr>
        <w:trPr>
          <w:trHeight w:val="301"/>
        </w:trPr>
        <w:tc>
          <w:tcPr>
            <w:tcW w:w="5900" w:type="dxa"/>
            <w:vAlign w:val="bottom"/>
          </w:tcPr>
          <w:p>
            <w:pPr>
              <w:ind w:left="20"/>
              <w:spacing w:after="0"/>
              <w:rPr>
                <w:sz w:val="20"/>
                <w:szCs w:val="20"/>
                <w:color w:val="auto"/>
              </w:rPr>
            </w:pPr>
            <w:r>
              <w:rPr>
                <w:rFonts w:ascii="Arial" w:cs="Arial" w:eastAsia="Arial" w:hAnsi="Arial"/>
                <w:sz w:val="18"/>
                <w:szCs w:val="18"/>
                <w:color w:val="51555C"/>
              </w:rPr>
              <w:t>Votes Cast Against</w:t>
            </w:r>
          </w:p>
        </w:tc>
        <w:tc>
          <w:tcPr>
            <w:tcW w:w="5320" w:type="dxa"/>
            <w:vAlign w:val="bottom"/>
          </w:tcPr>
          <w:p>
            <w:pPr>
              <w:jc w:val="right"/>
              <w:spacing w:after="0"/>
              <w:rPr>
                <w:sz w:val="20"/>
                <w:szCs w:val="20"/>
                <w:color w:val="auto"/>
              </w:rPr>
            </w:pPr>
            <w:r>
              <w:rPr>
                <w:rFonts w:ascii="Arial" w:cs="Arial" w:eastAsia="Arial" w:hAnsi="Arial"/>
                <w:sz w:val="18"/>
                <w:szCs w:val="18"/>
                <w:color w:val="51555C"/>
              </w:rPr>
              <w:t>16,254</w:t>
            </w:r>
          </w:p>
        </w:tc>
        <w:tc>
          <w:tcPr>
            <w:tcW w:w="20" w:type="dxa"/>
            <w:vAlign w:val="bottom"/>
          </w:tcPr>
          <w:p>
            <w:pPr>
              <w:spacing w:after="0"/>
              <w:rPr>
                <w:sz w:val="24"/>
                <w:szCs w:val="24"/>
                <w:color w:val="auto"/>
              </w:rPr>
            </w:pPr>
          </w:p>
        </w:tc>
      </w:tr>
      <w:tr>
        <w:trPr>
          <w:trHeight w:val="23"/>
        </w:trPr>
        <w:tc>
          <w:tcPr>
            <w:tcW w:w="59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5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Abstentions</w:t>
            </w:r>
          </w:p>
        </w:tc>
        <w:tc>
          <w:tcPr>
            <w:tcW w:w="5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61,234</w:t>
            </w:r>
          </w:p>
        </w:tc>
        <w:tc>
          <w:tcPr>
            <w:tcW w:w="20" w:type="dxa"/>
            <w:vAlign w:val="bottom"/>
          </w:tcPr>
          <w:p>
            <w:pPr>
              <w:spacing w:after="0"/>
              <w:rPr>
                <w:sz w:val="24"/>
                <w:szCs w:val="24"/>
                <w:color w:val="auto"/>
              </w:rPr>
            </w:pPr>
          </w:p>
        </w:tc>
      </w:tr>
      <w:tr>
        <w:trPr>
          <w:trHeight w:val="301"/>
        </w:trPr>
        <w:tc>
          <w:tcPr>
            <w:tcW w:w="5900" w:type="dxa"/>
            <w:vAlign w:val="bottom"/>
          </w:tcPr>
          <w:p>
            <w:pPr>
              <w:ind w:left="20"/>
              <w:spacing w:after="0"/>
              <w:rPr>
                <w:sz w:val="20"/>
                <w:szCs w:val="20"/>
                <w:color w:val="auto"/>
              </w:rPr>
            </w:pPr>
            <w:r>
              <w:rPr>
                <w:rFonts w:ascii="Arial" w:cs="Arial" w:eastAsia="Arial" w:hAnsi="Arial"/>
                <w:sz w:val="18"/>
                <w:szCs w:val="18"/>
                <w:color w:val="51555C"/>
              </w:rPr>
              <w:t>Broker Non-Votes</w:t>
            </w:r>
          </w:p>
        </w:tc>
        <w:tc>
          <w:tcPr>
            <w:tcW w:w="5340" w:type="dxa"/>
            <w:vAlign w:val="bottom"/>
            <w:gridSpan w:val="2"/>
          </w:tcPr>
          <w:p>
            <w:pPr>
              <w:ind w:left="5000"/>
              <w:spacing w:after="0"/>
              <w:rPr>
                <w:sz w:val="20"/>
                <w:szCs w:val="20"/>
                <w:color w:val="auto"/>
              </w:rPr>
            </w:pPr>
            <w:r>
              <w:rPr>
                <w:rFonts w:ascii="Arial" w:cs="Arial" w:eastAsia="Arial" w:hAnsi="Arial"/>
                <w:sz w:val="18"/>
                <w:szCs w:val="18"/>
                <w:color w:val="51555C"/>
              </w:rPr>
              <w:t>N/A</w:t>
            </w:r>
          </w:p>
        </w:tc>
      </w:tr>
      <w:tr>
        <w:trPr>
          <w:trHeight w:val="23"/>
        </w:trPr>
        <w:tc>
          <w:tcPr>
            <w:tcW w:w="5900" w:type="dxa"/>
            <w:vAlign w:val="bottom"/>
            <w:tcBorders>
              <w:bottom w:val="single" w:sz="8" w:color="0CD973"/>
            </w:tcBorders>
          </w:tcPr>
          <w:p>
            <w:pPr>
              <w:spacing w:after="0"/>
              <w:rPr>
                <w:sz w:val="2"/>
                <w:szCs w:val="2"/>
                <w:color w:val="auto"/>
              </w:rPr>
            </w:pPr>
          </w:p>
        </w:tc>
        <w:tc>
          <w:tcPr>
            <w:tcW w:w="532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1378"/>
        </w:trPr>
        <w:tc>
          <w:tcPr>
            <w:tcW w:w="59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51555C"/>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51555C"/>
        </w:rPr>
        <w:t>BLACKBAUD, INC.</w:t>
      </w:r>
    </w:p>
    <w:p>
      <w:pPr>
        <w:spacing w:after="0" w:line="279" w:lineRule="exact"/>
        <w:rPr>
          <w:sz w:val="20"/>
          <w:szCs w:val="20"/>
          <w:color w:val="auto"/>
        </w:rPr>
      </w:pPr>
    </w:p>
    <w:p>
      <w:pPr>
        <w:ind w:left="40"/>
        <w:spacing w:after="0"/>
        <w:tabs>
          <w:tab w:leader="none" w:pos="680" w:val="left"/>
          <w:tab w:leader="none" w:pos="3600" w:val="left"/>
        </w:tabs>
        <w:rPr>
          <w:sz w:val="20"/>
          <w:szCs w:val="20"/>
          <w:color w:val="auto"/>
        </w:rPr>
      </w:pPr>
      <w:r>
        <w:rPr>
          <w:rFonts w:ascii="Arial" w:cs="Arial" w:eastAsia="Arial" w:hAnsi="Arial"/>
          <w:sz w:val="18"/>
          <w:szCs w:val="18"/>
          <w:color w:val="51555C"/>
        </w:rPr>
        <w:t>Date:</w:t>
        <w:tab/>
        <w:t>June 11, 2026</w:t>
      </w:r>
      <w:r>
        <w:rPr>
          <w:sz w:val="20"/>
          <w:szCs w:val="20"/>
          <w:color w:val="auto"/>
        </w:rPr>
        <w:tab/>
      </w:r>
      <w:r>
        <w:rPr>
          <w:rFonts w:ascii="Arial" w:cs="Arial" w:eastAsia="Arial" w:hAnsi="Arial"/>
          <w:sz w:val="17"/>
          <w:szCs w:val="17"/>
          <w:color w:val="51555C"/>
        </w:rPr>
        <w:t>/s/ Chad 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34925</wp:posOffset>
            </wp:positionV>
            <wp:extent cx="3402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11" w:lineRule="exact"/>
        <w:rPr>
          <w:sz w:val="20"/>
          <w:szCs w:val="20"/>
          <w:color w:val="auto"/>
        </w:rPr>
      </w:pPr>
    </w:p>
    <w:p>
      <w:pPr>
        <w:ind w:left="3620"/>
        <w:spacing w:after="0"/>
        <w:rPr>
          <w:sz w:val="20"/>
          <w:szCs w:val="20"/>
          <w:color w:val="auto"/>
        </w:rPr>
      </w:pPr>
      <w:r>
        <w:rPr>
          <w:rFonts w:ascii="Arial" w:cs="Arial" w:eastAsia="Arial" w:hAnsi="Arial"/>
          <w:sz w:val="18"/>
          <w:szCs w:val="18"/>
          <w:color w:val="51555C"/>
        </w:rPr>
        <w:t>Chad M. Anderson</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color w:val="51555C"/>
        </w:rPr>
        <w:t>Executive Vice President and Chief Financial Officer</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color w:val="51555C"/>
        </w:rPr>
        <w:t>(Principal Financial and Accounting Officer)</w:t>
      </w:r>
    </w:p>
    <w:sectPr>
      <w:pgSz w:w="11900" w:h="16838" w:orient="portrait"/>
      <w:cols w:equalWidth="0" w:num="1">
        <w:col w:w="11220"/>
      </w:cols>
      <w:pgMar w:left="320" w:top="12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2026-06-11T15:08:26Z</dcterms:created>
  <dcterms:modified xsi:type="dcterms:W3CDTF">2026-06-11T15:08:26Z</dcterms:modified>
</cp:coreProperties>
</file>