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United States Securities and Exchange Commission on June 12, 2026</w:t>
      </w:r>
    </w:p>
    <w:p>
      <w:pPr>
        <w:spacing w:after="0" w:line="17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36830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1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S-8</w:t>
      </w:r>
    </w:p>
    <w:p>
      <w:pPr>
        <w:spacing w:after="0" w:line="18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STATEMENT UNDER THE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ACT OF 1933</w:t>
      </w:r>
    </w:p>
    <w:p>
      <w:pPr>
        <w:spacing w:after="0" w:line="2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BLACKBAUD, INC.</w:t>
      </w:r>
    </w:p>
    <w:p>
      <w:pPr>
        <w:spacing w:after="0" w:line="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600" w:type="dxa"/>
        <w:tblCellMar>
          <w:top w:w="0" w:type="dxa"/>
          <w:left w:w="0" w:type="dxa"/>
          <w:bottom w:w="0" w:type="dxa"/>
          <w:right w:w="0" w:type="dxa"/>
        </w:tblCellMar>
      </w:tblPr>
      <w:tr>
        <w:trPr>
          <w:trHeight w:val="220"/>
        </w:trPr>
        <w:tc>
          <w:tcPr>
            <w:tcW w:w="5480" w:type="dxa"/>
            <w:vAlign w:val="bottom"/>
          </w:tcPr>
          <w:p>
            <w:pPr>
              <w:jc w:val="center"/>
              <w:ind w:right="109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660" w:type="dxa"/>
            <w:vAlign w:val="bottom"/>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11-2617163</w:t>
            </w:r>
          </w:p>
        </w:tc>
        <w:tc>
          <w:tcPr>
            <w:tcW w:w="0" w:type="dxa"/>
            <w:vAlign w:val="bottom"/>
          </w:tcPr>
          <w:p>
            <w:pPr>
              <w:spacing w:after="0"/>
              <w:rPr>
                <w:sz w:val="1"/>
                <w:szCs w:val="1"/>
                <w:color w:val="auto"/>
              </w:rPr>
            </w:pPr>
          </w:p>
        </w:tc>
      </w:tr>
      <w:tr>
        <w:trPr>
          <w:trHeight w:val="234"/>
        </w:trPr>
        <w:tc>
          <w:tcPr>
            <w:tcW w:w="5480" w:type="dxa"/>
            <w:vAlign w:val="bottom"/>
          </w:tcPr>
          <w:p>
            <w:pPr>
              <w:jc w:val="center"/>
              <w:ind w:right="1090"/>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 organization)</w:t>
            </w:r>
          </w:p>
        </w:tc>
        <w:tc>
          <w:tcPr>
            <w:tcW w:w="3660" w:type="dxa"/>
            <w:vAlign w:val="bottom"/>
          </w:tcPr>
          <w:p>
            <w:pPr>
              <w:jc w:val="center"/>
              <w:ind w:left="109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c>
          <w:tcPr>
            <w:tcW w:w="0" w:type="dxa"/>
            <w:vAlign w:val="bottom"/>
          </w:tcPr>
          <w:p>
            <w:pPr>
              <w:spacing w:after="0"/>
              <w:rPr>
                <w:sz w:val="1"/>
                <w:szCs w:val="1"/>
                <w:color w:val="auto"/>
              </w:rPr>
            </w:pPr>
          </w:p>
        </w:tc>
      </w:tr>
      <w:tr>
        <w:trPr>
          <w:trHeight w:val="518"/>
        </w:trPr>
        <w:tc>
          <w:tcPr>
            <w:tcW w:w="5480" w:type="dxa"/>
            <w:vAlign w:val="bottom"/>
          </w:tcPr>
          <w:p>
            <w:pPr>
              <w:jc w:val="center"/>
              <w:ind w:right="1090"/>
              <w:spacing w:after="0"/>
              <w:rPr>
                <w:sz w:val="20"/>
                <w:szCs w:val="20"/>
                <w:color w:val="auto"/>
              </w:rPr>
            </w:pPr>
            <w:r>
              <w:rPr>
                <w:rFonts w:ascii="Times New Roman" w:cs="Times New Roman" w:eastAsia="Times New Roman" w:hAnsi="Times New Roman"/>
                <w:sz w:val="18"/>
                <w:szCs w:val="18"/>
                <w:b w:val="1"/>
                <w:bCs w:val="1"/>
                <w:color w:val="auto"/>
                <w:w w:val="98"/>
              </w:rPr>
              <w:t>65 Fairchild Street</w:t>
            </w:r>
          </w:p>
        </w:tc>
        <w:tc>
          <w:tcPr>
            <w:tcW w:w="3660" w:type="dxa"/>
            <w:vAlign w:val="bottom"/>
            <w:vMerge w:val="restart"/>
          </w:tcPr>
          <w:p>
            <w:pPr>
              <w:jc w:val="right"/>
              <w:ind w:right="930"/>
              <w:spacing w:after="0"/>
              <w:rPr>
                <w:sz w:val="20"/>
                <w:szCs w:val="20"/>
                <w:color w:val="auto"/>
              </w:rPr>
            </w:pPr>
            <w:r>
              <w:rPr>
                <w:rFonts w:ascii="Times New Roman" w:cs="Times New Roman" w:eastAsia="Times New Roman" w:hAnsi="Times New Roman"/>
                <w:sz w:val="18"/>
                <w:szCs w:val="18"/>
                <w:b w:val="1"/>
                <w:bCs w:val="1"/>
                <w:color w:val="auto"/>
              </w:rPr>
              <w:t>29492</w:t>
            </w:r>
          </w:p>
        </w:tc>
        <w:tc>
          <w:tcPr>
            <w:tcW w:w="0" w:type="dxa"/>
            <w:vAlign w:val="bottom"/>
          </w:tcPr>
          <w:p>
            <w:pPr>
              <w:spacing w:after="0"/>
              <w:rPr>
                <w:sz w:val="1"/>
                <w:szCs w:val="1"/>
                <w:color w:val="auto"/>
              </w:rPr>
            </w:pPr>
          </w:p>
        </w:tc>
      </w:tr>
      <w:tr>
        <w:trPr>
          <w:trHeight w:val="112"/>
        </w:trPr>
        <w:tc>
          <w:tcPr>
            <w:tcW w:w="5480" w:type="dxa"/>
            <w:vAlign w:val="bottom"/>
            <w:vMerge w:val="restart"/>
          </w:tcPr>
          <w:p>
            <w:pPr>
              <w:jc w:val="center"/>
              <w:ind w:right="1090"/>
              <w:spacing w:after="0"/>
              <w:rPr>
                <w:sz w:val="20"/>
                <w:szCs w:val="20"/>
                <w:color w:val="auto"/>
              </w:rPr>
            </w:pPr>
            <w:r>
              <w:rPr>
                <w:rFonts w:ascii="Times New Roman" w:cs="Times New Roman" w:eastAsia="Times New Roman" w:hAnsi="Times New Roman"/>
                <w:sz w:val="18"/>
                <w:szCs w:val="18"/>
                <w:b w:val="1"/>
                <w:bCs w:val="1"/>
                <w:color w:val="auto"/>
                <w:w w:val="99"/>
              </w:rPr>
              <w:t>Charleston, South Carolina</w:t>
            </w:r>
          </w:p>
        </w:tc>
        <w:tc>
          <w:tcPr>
            <w:tcW w:w="36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5480" w:type="dxa"/>
            <w:vAlign w:val="bottom"/>
            <w:vMerge w:val="continue"/>
          </w:tcPr>
          <w:p>
            <w:pPr>
              <w:spacing w:after="0"/>
              <w:rPr>
                <w:sz w:val="9"/>
                <w:szCs w:val="9"/>
                <w:color w:val="auto"/>
              </w:rPr>
            </w:pPr>
          </w:p>
        </w:tc>
        <w:tc>
          <w:tcPr>
            <w:tcW w:w="3660" w:type="dxa"/>
            <w:vAlign w:val="bottom"/>
            <w:vMerge w:val="restart"/>
          </w:tcPr>
          <w:p>
            <w:pPr>
              <w:jc w:val="center"/>
              <w:ind w:left="1090"/>
              <w:spacing w:after="0"/>
              <w:rPr>
                <w:sz w:val="20"/>
                <w:szCs w:val="20"/>
                <w:color w:val="auto"/>
              </w:rPr>
            </w:pPr>
            <w:r>
              <w:rPr>
                <w:rFonts w:ascii="Times New Roman" w:cs="Times New Roman" w:eastAsia="Times New Roman" w:hAnsi="Times New Roman"/>
                <w:sz w:val="18"/>
                <w:szCs w:val="18"/>
                <w:color w:val="auto"/>
              </w:rPr>
              <w:t>(Zip Code)</w:t>
            </w:r>
          </w:p>
        </w:tc>
        <w:tc>
          <w:tcPr>
            <w:tcW w:w="0" w:type="dxa"/>
            <w:vAlign w:val="bottom"/>
          </w:tcPr>
          <w:p>
            <w:pPr>
              <w:spacing w:after="0"/>
              <w:rPr>
                <w:sz w:val="1"/>
                <w:szCs w:val="1"/>
                <w:color w:val="auto"/>
              </w:rPr>
            </w:pPr>
          </w:p>
        </w:tc>
      </w:tr>
      <w:tr>
        <w:trPr>
          <w:trHeight w:val="126"/>
        </w:trPr>
        <w:tc>
          <w:tcPr>
            <w:tcW w:w="5480" w:type="dxa"/>
            <w:vAlign w:val="bottom"/>
            <w:vMerge w:val="restart"/>
          </w:tcPr>
          <w:p>
            <w:pPr>
              <w:jc w:val="center"/>
              <w:ind w:right="109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6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5480" w:type="dxa"/>
            <w:vAlign w:val="bottom"/>
            <w:vMerge w:val="continue"/>
          </w:tcPr>
          <w:p>
            <w:pPr>
              <w:spacing w:after="0"/>
              <w:rPr>
                <w:sz w:val="9"/>
                <w:szCs w:val="9"/>
                <w:color w:val="auto"/>
              </w:rPr>
            </w:pPr>
          </w:p>
        </w:tc>
        <w:tc>
          <w:tcPr>
            <w:tcW w:w="36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BLACKBAUD, INC.</w:t>
      </w:r>
    </w:p>
    <w:p>
      <w:pPr>
        <w:spacing w:after="0" w:line="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2016 EQUITY AND INCENTIVE COMPENSATION PLAN</w:t>
      </w:r>
    </w:p>
    <w:p>
      <w:pPr>
        <w:spacing w:after="0" w:line="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AMENDED AND RESTATED AS OF JUNE 10, 2026</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(Full title of the plan)</w:t>
      </w:r>
    </w:p>
    <w:p>
      <w:pPr>
        <w:spacing w:after="0" w:line="3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Michael P. Gianoni, Chief Executive Officer, President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Vice Chairman of the Board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Blackbaud, Inc.</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65 Fairchild Street</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Charleston, South Carolina 29492</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(Name and address of agent for service)</w:t>
      </w:r>
    </w:p>
    <w:p>
      <w:pPr>
        <w:spacing w:after="0" w:line="2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(843) 216-6200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(Telephone number, including area code, of agent for service)</w:t>
      </w:r>
    </w:p>
    <w:p>
      <w:pPr>
        <w:spacing w:after="0" w:line="2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Copies to:</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 Douglas Harmon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Parker Poe Adams &amp; Bernstein LLP</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620 South Tryon Street, Suite 800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Charlotte, North Carolina 28202</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Telephone: (704) 335-9020</w:t>
      </w:r>
    </w:p>
    <w:p>
      <w:pPr>
        <w:spacing w:after="0" w:line="153"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1035" w:right="339" w:bottom="1440" w:gutter="0" w:footer="0" w:header="0"/>
        </w:sectPr>
      </w:pPr>
    </w:p>
    <w:p>
      <w:pPr>
        <w:spacing w:after="0" w:line="297" w:lineRule="exact"/>
        <w:rPr>
          <w:sz w:val="24"/>
          <w:szCs w:val="24"/>
          <w:color w:val="auto"/>
        </w:rPr>
      </w:pPr>
    </w:p>
    <w:p>
      <w:pPr>
        <w:ind w:left="20"/>
        <w:spacing w:after="0" w:line="196" w:lineRule="exact"/>
        <w:rPr>
          <w:sz w:val="20"/>
          <w:szCs w:val="20"/>
          <w:color w:val="auto"/>
        </w:rPr>
      </w:pPr>
      <w:r>
        <w:rPr>
          <w:rFonts w:ascii="Times New Roman" w:cs="Times New Roman" w:eastAsia="Times New Roman" w:hAnsi="Times New Roman"/>
          <w:sz w:val="17"/>
          <w:szCs w:val="17"/>
          <w:color w:val="auto"/>
        </w:rPr>
        <w:t xml:space="preserve">Large 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277"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Accelerated filer </w:t>
      </w:r>
      <w:r>
        <w:rPr>
          <w:rFonts w:ascii="MS PGothic" w:cs="MS PGothic" w:eastAsia="MS PGothic" w:hAnsi="MS PGothic"/>
          <w:sz w:val="17"/>
          <w:szCs w:val="17"/>
          <w:color w:val="auto"/>
        </w:rPr>
        <w:t>☐</w:t>
      </w:r>
    </w:p>
    <w:p>
      <w:pPr>
        <w:spacing w:after="0" w:line="200" w:lineRule="exact"/>
        <w:rPr>
          <w:sz w:val="24"/>
          <w:szCs w:val="24"/>
          <w:color w:val="auto"/>
        </w:rPr>
      </w:pPr>
    </w:p>
    <w:p>
      <w:pPr>
        <w:sectPr>
          <w:pgSz w:w="11900" w:h="16838" w:orient="portrait"/>
          <w:cols w:equalWidth="0" w:num="2">
            <w:col w:w="9100" w:space="720"/>
            <w:col w:w="1420"/>
          </w:cols>
          <w:pgMar w:left="320" w:top="1035" w:right="339" w:bottom="1440" w:gutter="0" w:footer="0" w:header="0"/>
          <w:type w:val="continuous"/>
        </w:sectPr>
      </w:pPr>
    </w:p>
    <w:p>
      <w:pPr>
        <w:spacing w:after="0" w:line="37" w:lineRule="exact"/>
        <w:rPr>
          <w:sz w:val="24"/>
          <w:szCs w:val="24"/>
          <w:color w:val="auto"/>
        </w:rPr>
      </w:pPr>
    </w:p>
    <w:p>
      <w:pPr>
        <w:ind w:left="20"/>
        <w:spacing w:after="0" w:line="196" w:lineRule="exact"/>
        <w:rPr>
          <w:sz w:val="20"/>
          <w:szCs w:val="20"/>
          <w:color w:val="auto"/>
        </w:rPr>
      </w:pPr>
      <w:r>
        <w:rPr>
          <w:rFonts w:ascii="Times New Roman" w:cs="Times New Roman" w:eastAsia="Times New Roman" w:hAnsi="Times New Roman"/>
          <w:sz w:val="17"/>
          <w:szCs w:val="17"/>
          <w:color w:val="auto"/>
        </w:rPr>
        <w:t xml:space="preserve">Non-accelerated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7"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200" w:lineRule="exact"/>
        <w:rPr>
          <w:sz w:val="24"/>
          <w:szCs w:val="24"/>
          <w:color w:val="auto"/>
        </w:rPr>
      </w:pPr>
    </w:p>
    <w:p>
      <w:pPr>
        <w:sectPr>
          <w:pgSz w:w="11900" w:h="16838" w:orient="portrait"/>
          <w:cols w:equalWidth="0" w:num="2">
            <w:col w:w="8320" w:space="720"/>
            <w:col w:w="2200"/>
          </w:cols>
          <w:pgMar w:left="320" w:top="1035" w:right="339" w:bottom="1440" w:gutter="0" w:footer="0" w:header="0"/>
          <w:type w:val="continuous"/>
        </w:sectPr>
      </w:pPr>
    </w:p>
    <w:p>
      <w:pPr>
        <w:spacing w:after="0" w:line="37" w:lineRule="exact"/>
        <w:rPr>
          <w:sz w:val="24"/>
          <w:szCs w:val="24"/>
          <w:color w:val="auto"/>
        </w:rPr>
      </w:pPr>
    </w:p>
    <w:p>
      <w:pPr>
        <w:ind w:left="904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ectPr>
          <w:pgSz w:w="11900" w:h="16838" w:orient="portrait"/>
          <w:cols w:equalWidth="0" w:num="1">
            <w:col w:w="11240"/>
          </w:cols>
          <w:pgMar w:left="320" w:top="1035" w:right="339" w:bottom="1440" w:gutter="0" w:footer="0" w:header="0"/>
          <w:type w:val="continuous"/>
        </w:sectPr>
      </w:pPr>
    </w:p>
    <w:p>
      <w:pPr>
        <w:spacing w:after="0" w:line="345"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highlight w:val="black"/>
        </w:rPr>
        <w:t>☐</w:t>
      </w:r>
    </w:p>
    <w:p>
      <w:pPr>
        <w:sectPr>
          <w:pgSz w:w="11900" w:h="16838" w:orient="portrait"/>
          <w:cols w:equalWidth="0" w:num="1">
            <w:col w:w="11240"/>
          </w:cols>
          <w:pgMar w:left="320" w:top="1035" w:right="3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REQUIRED IN THE SECTION 10(a) PROSPECTUS</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documents containing the information specified in "Item 1. Plan Information” and “Item 2. Registrant Information and Employee Plan Annual Information" of Form S-8 will be sent or given to participants of the Blackbaud, Inc. 2016 Equity and Incentive Compensation Plan Amended and Restated as of June 10, 2026, as specified by Rule 428(b)(1) under the Securities Act of 1933, as amended (the "Securities Act"). Such documents are not required to be, and are not, filed with the Securities and Exchange Commission (the "Commission") either as part of this Registration Statement or as a prospectus or prospectus supplement pursuant to Rule 424 under the Securities Act. These documents and the documents incorporated by reference in this Registration Statement pursuant to Item 3 of Part II of Form S-8, taken together, constitute a prospectus that meets the requirements of Section 10(a) of the Securities Act.</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REQUIRED IN THE REGISTRATION STATEMENT</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2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Incorporation of Documents by Reference.</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documents filed with the Commission are incorporated by reference herein:</w:t>
      </w:r>
    </w:p>
    <w:p>
      <w:pPr>
        <w:spacing w:after="0" w:line="171" w:lineRule="exact"/>
        <w:rPr>
          <w:sz w:val="20"/>
          <w:szCs w:val="20"/>
          <w:color w:val="auto"/>
        </w:rPr>
      </w:pPr>
    </w:p>
    <w:p>
      <w:pPr>
        <w:ind w:left="260" w:hanging="252"/>
        <w:spacing w:after="0"/>
        <w:tabs>
          <w:tab w:leader="none" w:pos="2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10">
        <w:r>
          <w:rPr>
            <w:rFonts w:ascii="Times New Roman" w:cs="Times New Roman" w:eastAsia="Times New Roman" w:hAnsi="Times New Roman"/>
            <w:sz w:val="18"/>
            <w:szCs w:val="18"/>
            <w:u w:val="single" w:color="auto"/>
            <w:color w:val="0000FF"/>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December 31, 2025;</w:t>
      </w:r>
    </w:p>
    <w:p>
      <w:pPr>
        <w:spacing w:after="0" w:line="171"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 on </w:t>
      </w:r>
      <w:hyperlink r:id="rId11">
        <w:r>
          <w:rPr>
            <w:rFonts w:ascii="Times New Roman" w:cs="Times New Roman" w:eastAsia="Times New Roman" w:hAnsi="Times New Roman"/>
            <w:sz w:val="18"/>
            <w:szCs w:val="18"/>
            <w:u w:val="single" w:color="auto"/>
            <w:color w:val="0000FF"/>
          </w:rPr>
          <w:t>Form 10-Q</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quarterly period ended March 31, 2026;</w:t>
      </w:r>
    </w:p>
    <w:p>
      <w:pPr>
        <w:spacing w:after="0" w:line="171"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Definitive Proxy Statement on </w:t>
      </w:r>
      <w:hyperlink r:id="rId12">
        <w:r>
          <w:rPr>
            <w:rFonts w:ascii="Times New Roman" w:cs="Times New Roman" w:eastAsia="Times New Roman" w:hAnsi="Times New Roman"/>
            <w:sz w:val="18"/>
            <w:szCs w:val="18"/>
            <w:u w:val="single" w:color="auto"/>
            <w:color w:val="0000FF"/>
          </w:rPr>
          <w:t>Schedule 14A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filed on April 21, 2026 for the Company's Annual Meeting of Stockholders held on June 10, 2026;</w:t>
      </w:r>
    </w:p>
    <w:p>
      <w:pPr>
        <w:spacing w:after="0" w:line="171"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Current Report on Form 8-K filed on </w:t>
      </w:r>
      <w:hyperlink r:id="rId13">
        <w:r>
          <w:rPr>
            <w:rFonts w:ascii="Times New Roman" w:cs="Times New Roman" w:eastAsia="Times New Roman" w:hAnsi="Times New Roman"/>
            <w:sz w:val="18"/>
            <w:szCs w:val="18"/>
            <w:u w:val="single" w:color="auto"/>
            <w:color w:val="0000FF"/>
          </w:rPr>
          <w:t>June 11, 2026</w:t>
        </w:r>
      </w:hyperlink>
      <w:r>
        <w:rPr>
          <w:rFonts w:ascii="Times New Roman" w:cs="Times New Roman" w:eastAsia="Times New Roman" w:hAnsi="Times New Roman"/>
          <w:sz w:val="18"/>
          <w:szCs w:val="18"/>
          <w:color w:val="auto"/>
        </w:rPr>
        <w:t>; and</w:t>
      </w:r>
    </w:p>
    <w:p>
      <w:pPr>
        <w:spacing w:after="0" w:line="171" w:lineRule="exact"/>
        <w:rPr>
          <w:rFonts w:ascii="Times New Roman" w:cs="Times New Roman" w:eastAsia="Times New Roman" w:hAnsi="Times New Roman"/>
          <w:sz w:val="18"/>
          <w:szCs w:val="18"/>
          <w:color w:val="auto"/>
        </w:rPr>
      </w:pPr>
    </w:p>
    <w:p>
      <w:pPr>
        <w:ind w:left="660" w:hanging="652"/>
        <w:spacing w:after="0" w:line="261" w:lineRule="auto"/>
        <w:tabs>
          <w:tab w:leader="none" w:pos="26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Common Stock, which is contained in our registration statement on </w:t>
      </w:r>
      <w:hyperlink r:id="rId14">
        <w:r>
          <w:rPr>
            <w:rFonts w:ascii="Times New Roman" w:cs="Times New Roman" w:eastAsia="Times New Roman" w:hAnsi="Times New Roman"/>
            <w:sz w:val="18"/>
            <w:szCs w:val="18"/>
            <w:u w:val="single" w:color="auto"/>
            <w:color w:val="0000FF"/>
          </w:rPr>
          <w:t>Form 8-A</w:t>
        </w:r>
      </w:hyperlink>
      <w:r>
        <w:rPr>
          <w:rFonts w:ascii="Times New Roman" w:cs="Times New Roman" w:eastAsia="Times New Roman" w:hAnsi="Times New Roman"/>
          <w:sz w:val="18"/>
          <w:szCs w:val="18"/>
          <w:color w:val="auto"/>
        </w:rPr>
        <w:t xml:space="preserve">, filed with the Commission on February 20, 2004, pursuant to Section 12 of the Securities Exchange Act of 1934, as amended (the “Exchange Act”), as updated by the description of the Common Stock included in </w:t>
      </w:r>
      <w:hyperlink r:id="rId15">
        <w:r>
          <w:rPr>
            <w:rFonts w:ascii="Times New Roman" w:cs="Times New Roman" w:eastAsia="Times New Roman" w:hAnsi="Times New Roman"/>
            <w:sz w:val="18"/>
            <w:szCs w:val="18"/>
            <w:u w:val="single" w:color="auto"/>
            <w:color w:val="0000FF"/>
          </w:rPr>
          <w:t>Exhibit 4.1</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the Registrant’s Annual Report on Form 10-K for the fiscal year ended December 31, 2025, filed with the Commission on February 18, 2026, and any amendment or report filed for the purpose of updating such description.</w:t>
      </w:r>
    </w:p>
    <w:p>
      <w:pPr>
        <w:spacing w:after="0" w:line="126" w:lineRule="exact"/>
        <w:rPr>
          <w:rFonts w:ascii="Times New Roman" w:cs="Times New Roman" w:eastAsia="Times New Roman" w:hAnsi="Times New Roman"/>
          <w:sz w:val="18"/>
          <w:szCs w:val="18"/>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Additionally, all documents subsequently filed with the Commission by us pursuant to Sections 13(a), 13(c), 14 and 15(d) of the Exchange Act, prior to the filing of a post-effective amendment that indicates that all securities offered hereunder have been sold or that deregisters all securities remaining unsold, shall be deemed to be incorporated by reference herein and be a part hereof from the date of the filing of such documents.</w:t>
      </w:r>
    </w:p>
    <w:p>
      <w:pPr>
        <w:spacing w:after="0" w:line="122" w:lineRule="exact"/>
        <w:rPr>
          <w:rFonts w:ascii="Times New Roman" w:cs="Times New Roman" w:eastAsia="Times New Roman" w:hAnsi="Times New Roman"/>
          <w:sz w:val="18"/>
          <w:szCs w:val="18"/>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Any statement contained herein or in a document, all or a portion of which is incorporated or deemed to be incorporated by reference herein, will be deemed to be modified or superseded for purposes of this Registration Statement to the extent that a statement contained herein or in any subsequently filed document that also is or is deemed to be incorporated by reference herein modifies or supersedes such statement. Any such statement so modified or superseded will not be deemed, except as so modified or amended, to constitute a part of this Registration Statement.</w:t>
      </w:r>
    </w:p>
    <w:p>
      <w:pPr>
        <w:spacing w:after="0" w:line="126" w:lineRule="exact"/>
        <w:rPr>
          <w:rFonts w:ascii="Times New Roman" w:cs="Times New Roman" w:eastAsia="Times New Roman" w:hAnsi="Times New Roman"/>
          <w:sz w:val="18"/>
          <w:szCs w:val="18"/>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Any documents or information “furnished” and not “filed” in accordance with the Commission rules shall not be deemed to be incorporated by reference herein.</w:t>
      </w:r>
    </w:p>
    <w:p>
      <w:pPr>
        <w:spacing w:after="0" w:line="200" w:lineRule="exact"/>
        <w:rPr>
          <w:rFonts w:ascii="Times New Roman" w:cs="Times New Roman" w:eastAsia="Times New Roman" w:hAnsi="Times New Roman"/>
          <w:sz w:val="18"/>
          <w:szCs w:val="18"/>
          <w:color w:val="auto"/>
        </w:rPr>
      </w:pPr>
    </w:p>
    <w:p>
      <w:pPr>
        <w:spacing w:after="0" w:line="363" w:lineRule="exact"/>
        <w:rPr>
          <w:rFonts w:ascii="Times New Roman" w:cs="Times New Roman" w:eastAsia="Times New Roman" w:hAnsi="Times New Roman"/>
          <w:sz w:val="18"/>
          <w:szCs w:val="18"/>
          <w:color w:val="auto"/>
        </w:rPr>
      </w:pPr>
    </w:p>
    <w:p>
      <w:pPr>
        <w:ind w:left="2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Indemnification of Directors and Officers.</w:t>
      </w:r>
    </w:p>
    <w:p>
      <w:pPr>
        <w:spacing w:after="0" w:line="283" w:lineRule="exact"/>
        <w:rPr>
          <w:rFonts w:ascii="Times New Roman" w:cs="Times New Roman" w:eastAsia="Times New Roman" w:hAnsi="Times New Roman"/>
          <w:sz w:val="18"/>
          <w:szCs w:val="18"/>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is incorporated under the laws of the State of Delaware. Section 145 of the Delaware General Corporation Law gives a corporation power to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the person is or was a director, officer, employee or agent of the corporation, or is or was serving at the request of the corporation as a director, officer, employee or agent of another corporation, partnership, joint venture,</w:t>
      </w:r>
    </w:p>
    <w:p>
      <w:pPr>
        <w:sectPr>
          <w:pgSz w:w="11900" w:h="16838" w:orient="portrait"/>
          <w:cols w:equalWidth="0" w:num="1">
            <w:col w:w="11240"/>
          </w:cols>
          <w:pgMar w:left="320" w:top="927" w:right="339" w:bottom="1440" w:gutter="0" w:footer="0" w:header="0"/>
        </w:sectPr>
      </w:pPr>
    </w:p>
    <w:bookmarkStart w:id="2" w:name="page3"/>
    <w:bookmarkEnd w:id="2"/>
    <w:p>
      <w:pPr>
        <w:jc w:val="both"/>
        <w:spacing w:after="0" w:line="261" w:lineRule="auto"/>
        <w:rPr>
          <w:sz w:val="20"/>
          <w:szCs w:val="20"/>
          <w:color w:val="auto"/>
        </w:rPr>
      </w:pPr>
      <w:r>
        <w:rPr>
          <w:rFonts w:ascii="Times New Roman" w:cs="Times New Roman" w:eastAsia="Times New Roman" w:hAnsi="Times New Roman"/>
          <w:sz w:val="18"/>
          <w:szCs w:val="18"/>
          <w:color w:val="auto"/>
        </w:rPr>
        <w:t>trust or other enterprise, against expenses (including attorneys’ fees), judgments, fines and amounts paid in settlement actually and reasonably incurred by the person in connection with such action, suit or proceeding if the person acted in good faith and in a manner the person reasonably believed to be in or not opposed to the best interests of the corporation, and, with respect to any criminal action or proceeding, had no reasonable cause to believe the person’s conduct was unlawful.</w:t>
      </w:r>
    </w:p>
    <w:p>
      <w:pPr>
        <w:spacing w:after="0" w:line="12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Section 145 also gives a corporation power to indemnify any person who was or is a party or is threatened to be made a party to any threatened, pending or completed action or suit by or in the right of the corporation to procure a judgment in its favor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actually and reasonably incurred by the person in connection with the defense or settlement of such action or suit if the person acted in good faith and in a manner the person reasonably believed to be in or not opposed to the best interests of the corporation and except that no indemnification shall be made in respect of any claim, issue or matter as to which such person shall have been adjudged to be liable to the corporation unless and only to the extent that the Court of Chancery or the court in which such action or suit was brought shall determine upon application that, despite the adjudication of liability but in view of all the circumstances of the case, such person is fairly and reasonably entitled to indemnity for such expenses which the Court of Chancery or such other court shall deem proper. Section 145 further provides that, to the extent that a present or former director or officer of a corporation has been successful on the merits or otherwise in defense of any such action, suit or proceeding, or in defense of any claim, issue or matter therein, such person shall be indemnified against expenses (including attorneys’ fees) actually and reasonably incurred by such person in connection therewith.</w:t>
      </w:r>
    </w:p>
    <w:p>
      <w:pPr>
        <w:spacing w:after="0" w:line="13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Section 145 also authorizes a corporation to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arising out of such person’s status as such, whether or not the corporation would have the power to indemnify such person against such liability under Section 145.</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Amended and Restated Certificate of Incorporation and Amended and Restated Bylaws provide for the indemnification of officers and directors to the fullest extent permitted by the Delaware General Corporation Law. The Company has also entered into an employment agreement with its Chief Executive Officer, President and Vice Chairman of the Board that requires the Company to indemnify that officer to the fullest extent permitted by Delaware law.</w:t>
      </w:r>
    </w:p>
    <w:p>
      <w:pPr>
        <w:spacing w:after="0" w:line="12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All of the Company’s directors and officers are covered by insurance policies maintained by the Company against certain liabilities for actions taken in their capacities as such, including liabilities under the Securities Act.</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12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Item 8.</w:t>
            </w:r>
          </w:p>
        </w:tc>
        <w:tc>
          <w:tcPr>
            <w:tcW w:w="9940" w:type="dxa"/>
            <w:vAlign w:val="bottom"/>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0" w:type="dxa"/>
            <w:vAlign w:val="bottom"/>
          </w:tcPr>
          <w:p>
            <w:pPr>
              <w:spacing w:after="0"/>
              <w:rPr>
                <w:sz w:val="1"/>
                <w:szCs w:val="1"/>
                <w:color w:val="auto"/>
              </w:rPr>
            </w:pPr>
          </w:p>
        </w:tc>
      </w:tr>
      <w:tr>
        <w:trPr>
          <w:trHeight w:val="554"/>
        </w:trPr>
        <w:tc>
          <w:tcPr>
            <w:tcW w:w="20" w:type="dxa"/>
            <w:vAlign w:val="bottom"/>
          </w:tcPr>
          <w:p>
            <w:pPr>
              <w:spacing w:after="0"/>
              <w:rPr>
                <w:sz w:val="24"/>
                <w:szCs w:val="24"/>
                <w:color w:val="auto"/>
              </w:rPr>
            </w:pPr>
          </w:p>
        </w:tc>
        <w:tc>
          <w:tcPr>
            <w:tcW w:w="12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Exhibit Number</w:t>
            </w:r>
          </w:p>
        </w:tc>
        <w:tc>
          <w:tcPr>
            <w:tcW w:w="1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880" w:type="dxa"/>
            <w:vAlign w:val="bottom"/>
            <w:gridSpan w:val="3"/>
          </w:tcPr>
          <w:p>
            <w:pPr>
              <w:ind w:left="260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27"/>
        </w:trPr>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40" w:type="dxa"/>
            <w:vAlign w:val="bottom"/>
            <w:gridSpan w:val="3"/>
            <w:vMerge w:val="restart"/>
            <w:shd w:val="clear" w:color="auto" w:fill="F4F4F4"/>
          </w:tcPr>
          <w:p>
            <w:pPr>
              <w:ind w:left="20"/>
              <w:spacing w:after="0"/>
              <w:rPr>
                <w:sz w:val="20"/>
                <w:szCs w:val="20"/>
                <w:color w:val="auto"/>
              </w:rPr>
            </w:pPr>
            <w:r>
              <w:rPr>
                <w:rFonts w:ascii="Times New Roman" w:cs="Times New Roman" w:eastAsia="Times New Roman" w:hAnsi="Times New Roman"/>
                <w:sz w:val="18"/>
                <w:szCs w:val="18"/>
                <w:color w:val="0000FF"/>
              </w:rPr>
              <w:t>5.</w:t>
            </w:r>
            <w:r>
              <w:rPr>
                <w:rFonts w:ascii="Times New Roman" w:cs="Times New Roman" w:eastAsia="Times New Roman" w:hAnsi="Times New Roman"/>
                <w:sz w:val="18"/>
                <w:szCs w:val="18"/>
                <w:u w:val="single" w:color="auto"/>
                <w:color w:val="0000FF"/>
              </w:rPr>
              <w:t>1*</w:t>
            </w:r>
          </w:p>
        </w:tc>
        <w:tc>
          <w:tcPr>
            <w:tcW w:w="80" w:type="dxa"/>
            <w:vAlign w:val="bottom"/>
            <w:shd w:val="clear" w:color="auto" w:fill="F4F4F4"/>
          </w:tcPr>
          <w:p>
            <w:pPr>
              <w:spacing w:after="0"/>
              <w:rPr>
                <w:sz w:val="20"/>
                <w:szCs w:val="20"/>
                <w:color w:val="auto"/>
              </w:rPr>
            </w:pPr>
          </w:p>
        </w:tc>
        <w:tc>
          <w:tcPr>
            <w:tcW w:w="780" w:type="dxa"/>
            <w:vAlign w:val="bottom"/>
            <w:shd w:val="clear" w:color="auto" w:fill="F4F4F4"/>
          </w:tcPr>
          <w:p>
            <w:pPr>
              <w:spacing w:after="0"/>
              <w:rPr>
                <w:sz w:val="20"/>
                <w:szCs w:val="20"/>
                <w:color w:val="auto"/>
              </w:rPr>
            </w:pPr>
          </w:p>
        </w:tc>
        <w:tc>
          <w:tcPr>
            <w:tcW w:w="9940" w:type="dxa"/>
            <w:vAlign w:val="bottom"/>
            <w:gridSpan w:val="5"/>
            <w:shd w:val="clear" w:color="auto" w:fill="F4F4F4"/>
          </w:tcPr>
          <w:p>
            <w:pPr>
              <w:ind w:left="300"/>
              <w:spacing w:after="0"/>
              <w:rPr>
                <w:sz w:val="20"/>
                <w:szCs w:val="20"/>
                <w:color w:val="auto"/>
              </w:rPr>
            </w:pPr>
            <w:r>
              <w:rPr>
                <w:rFonts w:ascii="Times New Roman" w:cs="Times New Roman" w:eastAsia="Times New Roman" w:hAnsi="Times New Roman"/>
                <w:sz w:val="18"/>
                <w:szCs w:val="18"/>
                <w:color w:val="auto"/>
              </w:rPr>
              <w:t>Opinion of Parker Poe Adams &amp; Bernstein LLP regarding the legality of securities registered</w:t>
            </w:r>
          </w:p>
        </w:tc>
        <w:tc>
          <w:tcPr>
            <w:tcW w:w="0" w:type="dxa"/>
            <w:vAlign w:val="bottom"/>
          </w:tcPr>
          <w:p>
            <w:pPr>
              <w:spacing w:after="0"/>
              <w:rPr>
                <w:sz w:val="1"/>
                <w:szCs w:val="1"/>
                <w:color w:val="auto"/>
              </w:rPr>
            </w:pPr>
          </w:p>
        </w:tc>
      </w:tr>
      <w:tr>
        <w:trPr>
          <w:trHeight w:val="169"/>
        </w:trPr>
        <w:tc>
          <w:tcPr>
            <w:tcW w:w="440" w:type="dxa"/>
            <w:vAlign w:val="bottom"/>
            <w:gridSpan w:val="3"/>
            <w:vMerge w:val="continue"/>
            <w:shd w:val="clear" w:color="auto" w:fill="F4F4F4"/>
          </w:tcPr>
          <w:p>
            <w:pPr>
              <w:spacing w:after="0"/>
              <w:rPr>
                <w:sz w:val="14"/>
                <w:szCs w:val="14"/>
                <w:color w:val="auto"/>
              </w:rPr>
            </w:pPr>
          </w:p>
        </w:tc>
        <w:tc>
          <w:tcPr>
            <w:tcW w:w="80" w:type="dxa"/>
            <w:vAlign w:val="bottom"/>
            <w:shd w:val="clear" w:color="auto" w:fill="F4F4F4"/>
          </w:tcPr>
          <w:p>
            <w:pPr>
              <w:spacing w:after="0"/>
              <w:rPr>
                <w:sz w:val="14"/>
                <w:szCs w:val="14"/>
                <w:color w:val="auto"/>
              </w:rPr>
            </w:pPr>
          </w:p>
        </w:tc>
        <w:tc>
          <w:tcPr>
            <w:tcW w:w="780" w:type="dxa"/>
            <w:vAlign w:val="bottom"/>
            <w:shd w:val="clear" w:color="auto" w:fill="F4F4F4"/>
          </w:tcPr>
          <w:p>
            <w:pPr>
              <w:spacing w:after="0"/>
              <w:rPr>
                <w:sz w:val="14"/>
                <w:szCs w:val="14"/>
                <w:color w:val="auto"/>
              </w:rPr>
            </w:pPr>
          </w:p>
        </w:tc>
        <w:tc>
          <w:tcPr>
            <w:tcW w:w="1200" w:type="dxa"/>
            <w:vAlign w:val="bottom"/>
            <w:shd w:val="clear" w:color="auto" w:fill="F4F4F4"/>
          </w:tcPr>
          <w:p>
            <w:pPr>
              <w:spacing w:after="0"/>
              <w:rPr>
                <w:sz w:val="14"/>
                <w:szCs w:val="14"/>
                <w:color w:val="auto"/>
              </w:rPr>
            </w:pPr>
          </w:p>
        </w:tc>
        <w:tc>
          <w:tcPr>
            <w:tcW w:w="860" w:type="dxa"/>
            <w:vAlign w:val="bottom"/>
            <w:shd w:val="clear" w:color="auto" w:fill="F4F4F4"/>
          </w:tcPr>
          <w:p>
            <w:pPr>
              <w:spacing w:after="0"/>
              <w:rPr>
                <w:sz w:val="14"/>
                <w:szCs w:val="14"/>
                <w:color w:val="auto"/>
              </w:rPr>
            </w:pPr>
          </w:p>
        </w:tc>
        <w:tc>
          <w:tcPr>
            <w:tcW w:w="2640" w:type="dxa"/>
            <w:vAlign w:val="bottom"/>
            <w:shd w:val="clear" w:color="auto" w:fill="F4F4F4"/>
          </w:tcPr>
          <w:p>
            <w:pPr>
              <w:spacing w:after="0"/>
              <w:rPr>
                <w:sz w:val="14"/>
                <w:szCs w:val="14"/>
                <w:color w:val="auto"/>
              </w:rPr>
            </w:pPr>
          </w:p>
        </w:tc>
        <w:tc>
          <w:tcPr>
            <w:tcW w:w="800" w:type="dxa"/>
            <w:vAlign w:val="bottom"/>
            <w:shd w:val="clear" w:color="auto" w:fill="F4F4F4"/>
          </w:tcPr>
          <w:p>
            <w:pPr>
              <w:spacing w:after="0"/>
              <w:rPr>
                <w:sz w:val="14"/>
                <w:szCs w:val="14"/>
                <w:color w:val="auto"/>
              </w:rPr>
            </w:pPr>
          </w:p>
        </w:tc>
        <w:tc>
          <w:tcPr>
            <w:tcW w:w="4440" w:type="dxa"/>
            <w:vAlign w:val="bottom"/>
            <w:shd w:val="clear" w:color="auto" w:fill="F4F4F4"/>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20" w:type="dxa"/>
            <w:vAlign w:val="bottom"/>
            <w:tcBorders>
              <w:top w:val="single" w:sz="8" w:color="F4F4F4"/>
            </w:tcBorders>
          </w:tcPr>
          <w:p>
            <w:pPr>
              <w:spacing w:after="0"/>
              <w:rPr>
                <w:sz w:val="23"/>
                <w:szCs w:val="23"/>
                <w:color w:val="auto"/>
              </w:rPr>
            </w:pPr>
          </w:p>
        </w:tc>
        <w:tc>
          <w:tcPr>
            <w:tcW w:w="320" w:type="dxa"/>
            <w:vAlign w:val="bottom"/>
            <w:tcBorders>
              <w:top w:val="single" w:sz="8" w:color="0000FF"/>
            </w:tcBorders>
          </w:tcPr>
          <w:p>
            <w:pPr>
              <w:spacing w:after="0"/>
              <w:rPr>
                <w:sz w:val="23"/>
                <w:szCs w:val="23"/>
                <w:color w:val="auto"/>
              </w:rPr>
            </w:pPr>
          </w:p>
        </w:tc>
        <w:tc>
          <w:tcPr>
            <w:tcW w:w="100" w:type="dxa"/>
            <w:vAlign w:val="bottom"/>
            <w:tcBorders>
              <w:top w:val="single" w:sz="8" w:color="F4F4F4"/>
            </w:tcBorders>
          </w:tcPr>
          <w:p>
            <w:pPr>
              <w:spacing w:after="0"/>
              <w:rPr>
                <w:sz w:val="23"/>
                <w:szCs w:val="23"/>
                <w:color w:val="auto"/>
              </w:rPr>
            </w:pPr>
          </w:p>
        </w:tc>
        <w:tc>
          <w:tcPr>
            <w:tcW w:w="80" w:type="dxa"/>
            <w:vAlign w:val="bottom"/>
            <w:tcBorders>
              <w:top w:val="single" w:sz="8" w:color="F4F4F4"/>
            </w:tcBorders>
          </w:tcPr>
          <w:p>
            <w:pPr>
              <w:spacing w:after="0"/>
              <w:rPr>
                <w:sz w:val="23"/>
                <w:szCs w:val="23"/>
                <w:color w:val="auto"/>
              </w:rPr>
            </w:pPr>
          </w:p>
        </w:tc>
        <w:tc>
          <w:tcPr>
            <w:tcW w:w="780" w:type="dxa"/>
            <w:vAlign w:val="bottom"/>
            <w:tcBorders>
              <w:top w:val="single" w:sz="8" w:color="F4F4F4"/>
            </w:tcBorders>
          </w:tcPr>
          <w:p>
            <w:pPr>
              <w:spacing w:after="0"/>
              <w:rPr>
                <w:sz w:val="23"/>
                <w:szCs w:val="23"/>
                <w:color w:val="auto"/>
              </w:rPr>
            </w:pPr>
          </w:p>
        </w:tc>
        <w:tc>
          <w:tcPr>
            <w:tcW w:w="1200" w:type="dxa"/>
            <w:vAlign w:val="bottom"/>
            <w:tcBorders>
              <w:top w:val="single" w:sz="8" w:color="F4F4F4"/>
            </w:tcBorders>
          </w:tcPr>
          <w:p>
            <w:pPr>
              <w:spacing w:after="0"/>
              <w:rPr>
                <w:sz w:val="23"/>
                <w:szCs w:val="23"/>
                <w:color w:val="auto"/>
              </w:rPr>
            </w:pPr>
          </w:p>
        </w:tc>
        <w:tc>
          <w:tcPr>
            <w:tcW w:w="860" w:type="dxa"/>
            <w:vAlign w:val="bottom"/>
            <w:tcBorders>
              <w:top w:val="single" w:sz="8" w:color="F4F4F4"/>
            </w:tcBorders>
          </w:tcPr>
          <w:p>
            <w:pPr>
              <w:spacing w:after="0"/>
              <w:rPr>
                <w:sz w:val="23"/>
                <w:szCs w:val="23"/>
                <w:color w:val="auto"/>
              </w:rPr>
            </w:pPr>
          </w:p>
        </w:tc>
        <w:tc>
          <w:tcPr>
            <w:tcW w:w="2640" w:type="dxa"/>
            <w:vAlign w:val="bottom"/>
            <w:tcBorders>
              <w:top w:val="single" w:sz="8" w:color="F4F4F4"/>
            </w:tcBorders>
          </w:tcPr>
          <w:p>
            <w:pPr>
              <w:spacing w:after="0"/>
              <w:rPr>
                <w:sz w:val="23"/>
                <w:szCs w:val="23"/>
                <w:color w:val="auto"/>
              </w:rPr>
            </w:pPr>
          </w:p>
        </w:tc>
        <w:tc>
          <w:tcPr>
            <w:tcW w:w="800" w:type="dxa"/>
            <w:vAlign w:val="bottom"/>
            <w:tcBorders>
              <w:top w:val="single" w:sz="8" w:color="F4F4F4"/>
            </w:tcBorders>
          </w:tcPr>
          <w:p>
            <w:pPr>
              <w:spacing w:after="0"/>
              <w:rPr>
                <w:sz w:val="23"/>
                <w:szCs w:val="23"/>
                <w:color w:val="auto"/>
              </w:rPr>
            </w:pPr>
          </w:p>
        </w:tc>
        <w:tc>
          <w:tcPr>
            <w:tcW w:w="4440" w:type="dxa"/>
            <w:vAlign w:val="bottom"/>
            <w:tcBorders>
              <w:top w:val="single" w:sz="8" w:color="F4F4F4"/>
            </w:tcBorders>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520" w:type="dxa"/>
            <w:vAlign w:val="bottom"/>
            <w:gridSpan w:val="4"/>
            <w:vMerge w:val="restart"/>
            <w:shd w:val="clear" w:color="auto" w:fill="F4F4F4"/>
          </w:tcPr>
          <w:p>
            <w:pPr>
              <w:ind w:left="20"/>
              <w:spacing w:after="0"/>
              <w:rPr>
                <w:sz w:val="20"/>
                <w:szCs w:val="20"/>
                <w:color w:val="auto"/>
              </w:rPr>
            </w:pPr>
            <w:r>
              <w:rPr>
                <w:rFonts w:ascii="Times New Roman" w:cs="Times New Roman" w:eastAsia="Times New Roman" w:hAnsi="Times New Roman"/>
                <w:sz w:val="18"/>
                <w:szCs w:val="18"/>
                <w:color w:val="0000FF"/>
              </w:rPr>
              <w:t>23.</w:t>
            </w:r>
            <w:r>
              <w:rPr>
                <w:rFonts w:ascii="Times New Roman" w:cs="Times New Roman" w:eastAsia="Times New Roman" w:hAnsi="Times New Roman"/>
                <w:sz w:val="18"/>
                <w:szCs w:val="18"/>
                <w:u w:val="single" w:color="auto"/>
                <w:color w:val="0000FF"/>
              </w:rPr>
              <w:t>1*</w:t>
            </w:r>
          </w:p>
        </w:tc>
        <w:tc>
          <w:tcPr>
            <w:tcW w:w="780" w:type="dxa"/>
            <w:vAlign w:val="bottom"/>
            <w:shd w:val="clear" w:color="auto" w:fill="F4F4F4"/>
          </w:tcPr>
          <w:p>
            <w:pPr>
              <w:spacing w:after="0"/>
              <w:rPr>
                <w:sz w:val="21"/>
                <w:szCs w:val="21"/>
                <w:color w:val="auto"/>
              </w:rPr>
            </w:pPr>
          </w:p>
        </w:tc>
        <w:tc>
          <w:tcPr>
            <w:tcW w:w="9940" w:type="dxa"/>
            <w:vAlign w:val="bottom"/>
            <w:gridSpan w:val="5"/>
            <w:shd w:val="clear" w:color="auto" w:fill="F4F4F4"/>
          </w:tcPr>
          <w:p>
            <w:pPr>
              <w:ind w:left="300"/>
              <w:spacing w:after="0"/>
              <w:rPr>
                <w:sz w:val="20"/>
                <w:szCs w:val="20"/>
                <w:color w:val="auto"/>
              </w:rPr>
            </w:pPr>
            <w:r>
              <w:rPr>
                <w:rFonts w:ascii="Times New Roman" w:cs="Times New Roman" w:eastAsia="Times New Roman" w:hAnsi="Times New Roman"/>
                <w:sz w:val="18"/>
                <w:szCs w:val="18"/>
                <w:color w:val="auto"/>
              </w:rPr>
              <w:t>Consent of Ernst &amp; Young LLP</w:t>
            </w:r>
          </w:p>
        </w:tc>
        <w:tc>
          <w:tcPr>
            <w:tcW w:w="0" w:type="dxa"/>
            <w:vAlign w:val="bottom"/>
          </w:tcPr>
          <w:p>
            <w:pPr>
              <w:spacing w:after="0"/>
              <w:rPr>
                <w:sz w:val="1"/>
                <w:szCs w:val="1"/>
                <w:color w:val="auto"/>
              </w:rPr>
            </w:pPr>
          </w:p>
        </w:tc>
      </w:tr>
      <w:tr>
        <w:trPr>
          <w:trHeight w:val="169"/>
        </w:trPr>
        <w:tc>
          <w:tcPr>
            <w:tcW w:w="520" w:type="dxa"/>
            <w:vAlign w:val="bottom"/>
            <w:gridSpan w:val="4"/>
            <w:vMerge w:val="continue"/>
            <w:shd w:val="clear" w:color="auto" w:fill="F4F4F4"/>
          </w:tcPr>
          <w:p>
            <w:pPr>
              <w:spacing w:after="0"/>
              <w:rPr>
                <w:sz w:val="14"/>
                <w:szCs w:val="14"/>
                <w:color w:val="auto"/>
              </w:rPr>
            </w:pPr>
          </w:p>
        </w:tc>
        <w:tc>
          <w:tcPr>
            <w:tcW w:w="780" w:type="dxa"/>
            <w:vAlign w:val="bottom"/>
            <w:shd w:val="clear" w:color="auto" w:fill="F4F4F4"/>
          </w:tcPr>
          <w:p>
            <w:pPr>
              <w:spacing w:after="0"/>
              <w:rPr>
                <w:sz w:val="14"/>
                <w:szCs w:val="14"/>
                <w:color w:val="auto"/>
              </w:rPr>
            </w:pPr>
          </w:p>
        </w:tc>
        <w:tc>
          <w:tcPr>
            <w:tcW w:w="1200" w:type="dxa"/>
            <w:vAlign w:val="bottom"/>
            <w:shd w:val="clear" w:color="auto" w:fill="F4F4F4"/>
          </w:tcPr>
          <w:p>
            <w:pPr>
              <w:spacing w:after="0"/>
              <w:rPr>
                <w:sz w:val="14"/>
                <w:szCs w:val="14"/>
                <w:color w:val="auto"/>
              </w:rPr>
            </w:pPr>
          </w:p>
        </w:tc>
        <w:tc>
          <w:tcPr>
            <w:tcW w:w="860" w:type="dxa"/>
            <w:vAlign w:val="bottom"/>
            <w:shd w:val="clear" w:color="auto" w:fill="F4F4F4"/>
          </w:tcPr>
          <w:p>
            <w:pPr>
              <w:spacing w:after="0"/>
              <w:rPr>
                <w:sz w:val="14"/>
                <w:szCs w:val="14"/>
                <w:color w:val="auto"/>
              </w:rPr>
            </w:pPr>
          </w:p>
        </w:tc>
        <w:tc>
          <w:tcPr>
            <w:tcW w:w="2640" w:type="dxa"/>
            <w:vAlign w:val="bottom"/>
            <w:shd w:val="clear" w:color="auto" w:fill="F4F4F4"/>
          </w:tcPr>
          <w:p>
            <w:pPr>
              <w:spacing w:after="0"/>
              <w:rPr>
                <w:sz w:val="14"/>
                <w:szCs w:val="14"/>
                <w:color w:val="auto"/>
              </w:rPr>
            </w:pPr>
          </w:p>
        </w:tc>
        <w:tc>
          <w:tcPr>
            <w:tcW w:w="800" w:type="dxa"/>
            <w:vAlign w:val="bottom"/>
            <w:shd w:val="clear" w:color="auto" w:fill="F4F4F4"/>
          </w:tcPr>
          <w:p>
            <w:pPr>
              <w:spacing w:after="0"/>
              <w:rPr>
                <w:sz w:val="14"/>
                <w:szCs w:val="14"/>
                <w:color w:val="auto"/>
              </w:rPr>
            </w:pPr>
          </w:p>
        </w:tc>
        <w:tc>
          <w:tcPr>
            <w:tcW w:w="4440" w:type="dxa"/>
            <w:vAlign w:val="bottom"/>
            <w:shd w:val="clear" w:color="auto" w:fill="F4F4F4"/>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20" w:type="dxa"/>
            <w:vAlign w:val="bottom"/>
            <w:tcBorders>
              <w:top w:val="single" w:sz="8" w:color="F4F4F4"/>
            </w:tcBorders>
          </w:tcPr>
          <w:p>
            <w:pPr>
              <w:spacing w:after="0"/>
              <w:rPr>
                <w:sz w:val="23"/>
                <w:szCs w:val="23"/>
                <w:color w:val="auto"/>
              </w:rPr>
            </w:pPr>
          </w:p>
        </w:tc>
        <w:tc>
          <w:tcPr>
            <w:tcW w:w="32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80" w:type="dxa"/>
            <w:vAlign w:val="bottom"/>
            <w:tcBorders>
              <w:top w:val="single" w:sz="8" w:color="F4F4F4"/>
            </w:tcBorders>
          </w:tcPr>
          <w:p>
            <w:pPr>
              <w:spacing w:after="0"/>
              <w:rPr>
                <w:sz w:val="23"/>
                <w:szCs w:val="23"/>
                <w:color w:val="auto"/>
              </w:rPr>
            </w:pPr>
          </w:p>
        </w:tc>
        <w:tc>
          <w:tcPr>
            <w:tcW w:w="780" w:type="dxa"/>
            <w:vAlign w:val="bottom"/>
            <w:tcBorders>
              <w:top w:val="single" w:sz="8" w:color="F4F4F4"/>
            </w:tcBorders>
          </w:tcPr>
          <w:p>
            <w:pPr>
              <w:spacing w:after="0"/>
              <w:rPr>
                <w:sz w:val="23"/>
                <w:szCs w:val="23"/>
                <w:color w:val="auto"/>
              </w:rPr>
            </w:pPr>
          </w:p>
        </w:tc>
        <w:tc>
          <w:tcPr>
            <w:tcW w:w="1200" w:type="dxa"/>
            <w:vAlign w:val="bottom"/>
            <w:tcBorders>
              <w:top w:val="single" w:sz="8" w:color="F4F4F4"/>
            </w:tcBorders>
          </w:tcPr>
          <w:p>
            <w:pPr>
              <w:spacing w:after="0"/>
              <w:rPr>
                <w:sz w:val="23"/>
                <w:szCs w:val="23"/>
                <w:color w:val="auto"/>
              </w:rPr>
            </w:pPr>
          </w:p>
        </w:tc>
        <w:tc>
          <w:tcPr>
            <w:tcW w:w="860" w:type="dxa"/>
            <w:vAlign w:val="bottom"/>
            <w:tcBorders>
              <w:top w:val="single" w:sz="8" w:color="F4F4F4"/>
            </w:tcBorders>
          </w:tcPr>
          <w:p>
            <w:pPr>
              <w:spacing w:after="0"/>
              <w:rPr>
                <w:sz w:val="23"/>
                <w:szCs w:val="23"/>
                <w:color w:val="auto"/>
              </w:rPr>
            </w:pPr>
          </w:p>
        </w:tc>
        <w:tc>
          <w:tcPr>
            <w:tcW w:w="2640" w:type="dxa"/>
            <w:vAlign w:val="bottom"/>
            <w:tcBorders>
              <w:top w:val="single" w:sz="8" w:color="F4F4F4"/>
            </w:tcBorders>
          </w:tcPr>
          <w:p>
            <w:pPr>
              <w:spacing w:after="0"/>
              <w:rPr>
                <w:sz w:val="23"/>
                <w:szCs w:val="23"/>
                <w:color w:val="auto"/>
              </w:rPr>
            </w:pPr>
          </w:p>
        </w:tc>
        <w:tc>
          <w:tcPr>
            <w:tcW w:w="800" w:type="dxa"/>
            <w:vAlign w:val="bottom"/>
            <w:tcBorders>
              <w:top w:val="single" w:sz="8" w:color="F4F4F4"/>
            </w:tcBorders>
          </w:tcPr>
          <w:p>
            <w:pPr>
              <w:spacing w:after="0"/>
              <w:rPr>
                <w:sz w:val="23"/>
                <w:szCs w:val="23"/>
                <w:color w:val="auto"/>
              </w:rPr>
            </w:pPr>
          </w:p>
        </w:tc>
        <w:tc>
          <w:tcPr>
            <w:tcW w:w="4440" w:type="dxa"/>
            <w:vAlign w:val="bottom"/>
            <w:tcBorders>
              <w:top w:val="single" w:sz="8" w:color="F4F4F4"/>
            </w:tcBorders>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520" w:type="dxa"/>
            <w:vAlign w:val="bottom"/>
            <w:gridSpan w:val="4"/>
            <w:vMerge w:val="restart"/>
            <w:shd w:val="clear" w:color="auto" w:fill="F4F4F4"/>
          </w:tcPr>
          <w:p>
            <w:pPr>
              <w:ind w:left="20"/>
              <w:spacing w:after="0"/>
              <w:rPr>
                <w:sz w:val="20"/>
                <w:szCs w:val="20"/>
                <w:color w:val="auto"/>
              </w:rPr>
            </w:pPr>
            <w:r>
              <w:rPr>
                <w:rFonts w:ascii="Times New Roman" w:cs="Times New Roman" w:eastAsia="Times New Roman" w:hAnsi="Times New Roman"/>
                <w:sz w:val="18"/>
                <w:szCs w:val="18"/>
                <w:color w:val="0000FF"/>
              </w:rPr>
              <w:t>23.</w:t>
            </w:r>
            <w:r>
              <w:rPr>
                <w:rFonts w:ascii="Times New Roman" w:cs="Times New Roman" w:eastAsia="Times New Roman" w:hAnsi="Times New Roman"/>
                <w:sz w:val="18"/>
                <w:szCs w:val="18"/>
                <w:u w:val="single" w:color="auto"/>
                <w:color w:val="0000FF"/>
              </w:rPr>
              <w:t>2*</w:t>
            </w:r>
          </w:p>
        </w:tc>
        <w:tc>
          <w:tcPr>
            <w:tcW w:w="780" w:type="dxa"/>
            <w:vAlign w:val="bottom"/>
            <w:shd w:val="clear" w:color="auto" w:fill="F4F4F4"/>
          </w:tcPr>
          <w:p>
            <w:pPr>
              <w:spacing w:after="0"/>
              <w:rPr>
                <w:sz w:val="17"/>
                <w:szCs w:val="17"/>
                <w:color w:val="auto"/>
              </w:rPr>
            </w:pPr>
          </w:p>
        </w:tc>
        <w:tc>
          <w:tcPr>
            <w:tcW w:w="9940" w:type="dxa"/>
            <w:vAlign w:val="bottom"/>
            <w:gridSpan w:val="5"/>
            <w:shd w:val="clear" w:color="auto" w:fill="F4F4F4"/>
          </w:tcPr>
          <w:p>
            <w:pPr>
              <w:ind w:left="300"/>
              <w:spacing w:after="0" w:line="202" w:lineRule="exact"/>
              <w:rPr>
                <w:sz w:val="20"/>
                <w:szCs w:val="20"/>
                <w:color w:val="auto"/>
              </w:rPr>
            </w:pPr>
            <w:r>
              <w:rPr>
                <w:rFonts w:ascii="Times New Roman" w:cs="Times New Roman" w:eastAsia="Times New Roman" w:hAnsi="Times New Roman"/>
                <w:sz w:val="18"/>
                <w:szCs w:val="18"/>
                <w:color w:val="auto"/>
              </w:rPr>
              <w:t xml:space="preserve">Consent of Parker Poe Adams &amp; Bernstein LLP (included in </w:t>
            </w:r>
            <w:r>
              <w:rPr>
                <w:rFonts w:ascii="Times New Roman" w:cs="Times New Roman" w:eastAsia="Times New Roman" w:hAnsi="Times New Roman"/>
                <w:sz w:val="18"/>
                <w:szCs w:val="18"/>
                <w:color w:val="0000FF"/>
              </w:rPr>
              <w:t>Exhibit 5.1</w:t>
            </w:r>
            <w:r>
              <w:rPr>
                <w:rFonts w:ascii="Times New Roman" w:cs="Times New Roman" w:eastAsia="Times New Roman" w:hAnsi="Times New Roman"/>
                <w:sz w:val="18"/>
                <w:szCs w:val="18"/>
                <w:color w:val="auto"/>
              </w:rPr>
              <w:t xml:space="preserve"> to this Registration Statement)</w:t>
            </w:r>
          </w:p>
        </w:tc>
        <w:tc>
          <w:tcPr>
            <w:tcW w:w="0" w:type="dxa"/>
            <w:vAlign w:val="bottom"/>
          </w:tcPr>
          <w:p>
            <w:pPr>
              <w:spacing w:after="0"/>
              <w:rPr>
                <w:sz w:val="1"/>
                <w:szCs w:val="1"/>
                <w:color w:val="auto"/>
              </w:rPr>
            </w:pPr>
          </w:p>
        </w:tc>
      </w:tr>
      <w:tr>
        <w:trPr>
          <w:trHeight w:val="189"/>
        </w:trPr>
        <w:tc>
          <w:tcPr>
            <w:tcW w:w="520" w:type="dxa"/>
            <w:vAlign w:val="bottom"/>
            <w:tcBorders>
              <w:top w:val="single" w:sz="8" w:color="F4F4F4"/>
            </w:tcBorders>
            <w:gridSpan w:val="4"/>
            <w:vMerge w:val="continue"/>
            <w:shd w:val="clear" w:color="auto" w:fill="F4F4F4"/>
          </w:tcPr>
          <w:p>
            <w:pPr>
              <w:spacing w:after="0"/>
              <w:rPr>
                <w:sz w:val="16"/>
                <w:szCs w:val="16"/>
                <w:color w:val="auto"/>
              </w:rPr>
            </w:pPr>
          </w:p>
        </w:tc>
        <w:tc>
          <w:tcPr>
            <w:tcW w:w="780" w:type="dxa"/>
            <w:vAlign w:val="bottom"/>
            <w:tcBorders>
              <w:top w:val="single" w:sz="8" w:color="F4F4F4"/>
            </w:tcBorders>
            <w:shd w:val="clear" w:color="auto" w:fill="F4F4F4"/>
          </w:tcPr>
          <w:p>
            <w:pPr>
              <w:spacing w:after="0"/>
              <w:rPr>
                <w:sz w:val="16"/>
                <w:szCs w:val="16"/>
                <w:color w:val="auto"/>
              </w:rPr>
            </w:pPr>
          </w:p>
        </w:tc>
        <w:tc>
          <w:tcPr>
            <w:tcW w:w="1200" w:type="dxa"/>
            <w:vAlign w:val="bottom"/>
            <w:tcBorders>
              <w:top w:val="single" w:sz="8" w:color="F4F4F4"/>
            </w:tcBorders>
            <w:shd w:val="clear" w:color="auto" w:fill="F4F4F4"/>
          </w:tcPr>
          <w:p>
            <w:pPr>
              <w:spacing w:after="0"/>
              <w:rPr>
                <w:sz w:val="16"/>
                <w:szCs w:val="16"/>
                <w:color w:val="auto"/>
              </w:rPr>
            </w:pPr>
          </w:p>
        </w:tc>
        <w:tc>
          <w:tcPr>
            <w:tcW w:w="860" w:type="dxa"/>
            <w:vAlign w:val="bottom"/>
            <w:tcBorders>
              <w:top w:val="single" w:sz="8" w:color="F4F4F4"/>
            </w:tcBorders>
            <w:shd w:val="clear" w:color="auto" w:fill="F4F4F4"/>
          </w:tcPr>
          <w:p>
            <w:pPr>
              <w:spacing w:after="0"/>
              <w:rPr>
                <w:sz w:val="16"/>
                <w:szCs w:val="16"/>
                <w:color w:val="auto"/>
              </w:rPr>
            </w:pPr>
          </w:p>
        </w:tc>
        <w:tc>
          <w:tcPr>
            <w:tcW w:w="2640" w:type="dxa"/>
            <w:vAlign w:val="bottom"/>
            <w:tcBorders>
              <w:top w:val="single" w:sz="8" w:color="F4F4F4"/>
            </w:tcBorders>
            <w:shd w:val="clear" w:color="auto" w:fill="F4F4F4"/>
          </w:tcPr>
          <w:p>
            <w:pPr>
              <w:spacing w:after="0"/>
              <w:rPr>
                <w:sz w:val="16"/>
                <w:szCs w:val="16"/>
                <w:color w:val="auto"/>
              </w:rPr>
            </w:pPr>
          </w:p>
        </w:tc>
        <w:tc>
          <w:tcPr>
            <w:tcW w:w="800" w:type="dxa"/>
            <w:vAlign w:val="bottom"/>
            <w:tcBorders>
              <w:top w:val="single" w:sz="8" w:color="0000FF"/>
            </w:tcBorders>
            <w:shd w:val="clear" w:color="auto" w:fill="F4F4F4"/>
          </w:tcPr>
          <w:p>
            <w:pPr>
              <w:spacing w:after="0"/>
              <w:rPr>
                <w:sz w:val="16"/>
                <w:szCs w:val="16"/>
                <w:color w:val="auto"/>
              </w:rPr>
            </w:pPr>
          </w:p>
        </w:tc>
        <w:tc>
          <w:tcPr>
            <w:tcW w:w="4440" w:type="dxa"/>
            <w:vAlign w:val="bottom"/>
            <w:tcBorders>
              <w:top w:val="single" w:sz="8" w:color="F4F4F4"/>
            </w:tcBorders>
            <w:shd w:val="clear" w:color="auto" w:fill="F4F4F4"/>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20" w:type="dxa"/>
            <w:vAlign w:val="bottom"/>
            <w:tcBorders>
              <w:top w:val="single" w:sz="8" w:color="F4F4F4"/>
            </w:tcBorders>
          </w:tcPr>
          <w:p>
            <w:pPr>
              <w:spacing w:after="0"/>
              <w:rPr>
                <w:sz w:val="23"/>
                <w:szCs w:val="23"/>
                <w:color w:val="auto"/>
              </w:rPr>
            </w:pPr>
          </w:p>
        </w:tc>
        <w:tc>
          <w:tcPr>
            <w:tcW w:w="32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80" w:type="dxa"/>
            <w:vAlign w:val="bottom"/>
            <w:tcBorders>
              <w:top w:val="single" w:sz="8" w:color="F4F4F4"/>
            </w:tcBorders>
          </w:tcPr>
          <w:p>
            <w:pPr>
              <w:spacing w:after="0"/>
              <w:rPr>
                <w:sz w:val="23"/>
                <w:szCs w:val="23"/>
                <w:color w:val="auto"/>
              </w:rPr>
            </w:pPr>
          </w:p>
        </w:tc>
        <w:tc>
          <w:tcPr>
            <w:tcW w:w="780" w:type="dxa"/>
            <w:vAlign w:val="bottom"/>
            <w:tcBorders>
              <w:top w:val="single" w:sz="8" w:color="F4F4F4"/>
            </w:tcBorders>
          </w:tcPr>
          <w:p>
            <w:pPr>
              <w:spacing w:after="0"/>
              <w:rPr>
                <w:sz w:val="23"/>
                <w:szCs w:val="23"/>
                <w:color w:val="auto"/>
              </w:rPr>
            </w:pPr>
          </w:p>
        </w:tc>
        <w:tc>
          <w:tcPr>
            <w:tcW w:w="1200" w:type="dxa"/>
            <w:vAlign w:val="bottom"/>
            <w:tcBorders>
              <w:top w:val="single" w:sz="8" w:color="F4F4F4"/>
            </w:tcBorders>
          </w:tcPr>
          <w:p>
            <w:pPr>
              <w:spacing w:after="0"/>
              <w:rPr>
                <w:sz w:val="23"/>
                <w:szCs w:val="23"/>
                <w:color w:val="auto"/>
              </w:rPr>
            </w:pPr>
          </w:p>
        </w:tc>
        <w:tc>
          <w:tcPr>
            <w:tcW w:w="860" w:type="dxa"/>
            <w:vAlign w:val="bottom"/>
            <w:tcBorders>
              <w:top w:val="single" w:sz="8" w:color="F4F4F4"/>
            </w:tcBorders>
          </w:tcPr>
          <w:p>
            <w:pPr>
              <w:spacing w:after="0"/>
              <w:rPr>
                <w:sz w:val="23"/>
                <w:szCs w:val="23"/>
                <w:color w:val="auto"/>
              </w:rPr>
            </w:pPr>
          </w:p>
        </w:tc>
        <w:tc>
          <w:tcPr>
            <w:tcW w:w="2640" w:type="dxa"/>
            <w:vAlign w:val="bottom"/>
            <w:tcBorders>
              <w:top w:val="single" w:sz="8" w:color="F4F4F4"/>
            </w:tcBorders>
          </w:tcPr>
          <w:p>
            <w:pPr>
              <w:spacing w:after="0"/>
              <w:rPr>
                <w:sz w:val="23"/>
                <w:szCs w:val="23"/>
                <w:color w:val="auto"/>
              </w:rPr>
            </w:pPr>
          </w:p>
        </w:tc>
        <w:tc>
          <w:tcPr>
            <w:tcW w:w="800" w:type="dxa"/>
            <w:vAlign w:val="bottom"/>
            <w:tcBorders>
              <w:top w:val="single" w:sz="8" w:color="F4F4F4"/>
            </w:tcBorders>
          </w:tcPr>
          <w:p>
            <w:pPr>
              <w:spacing w:after="0"/>
              <w:rPr>
                <w:sz w:val="23"/>
                <w:szCs w:val="23"/>
                <w:color w:val="auto"/>
              </w:rPr>
            </w:pPr>
          </w:p>
        </w:tc>
        <w:tc>
          <w:tcPr>
            <w:tcW w:w="4440" w:type="dxa"/>
            <w:vAlign w:val="bottom"/>
            <w:tcBorders>
              <w:top w:val="single" w:sz="8" w:color="F4F4F4"/>
            </w:tcBorders>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520" w:type="dxa"/>
            <w:vAlign w:val="bottom"/>
            <w:gridSpan w:val="4"/>
            <w:vMerge w:val="restart"/>
            <w:shd w:val="clear" w:color="auto" w:fill="F4F4F4"/>
          </w:tcPr>
          <w:p>
            <w:pPr>
              <w:ind w:left="20"/>
              <w:spacing w:after="0"/>
              <w:rPr>
                <w:sz w:val="20"/>
                <w:szCs w:val="20"/>
                <w:color w:val="auto"/>
              </w:rPr>
            </w:pPr>
            <w:r>
              <w:rPr>
                <w:rFonts w:ascii="Times New Roman" w:cs="Times New Roman" w:eastAsia="Times New Roman" w:hAnsi="Times New Roman"/>
                <w:sz w:val="18"/>
                <w:szCs w:val="18"/>
                <w:color w:val="0000FF"/>
              </w:rPr>
              <w:t>24.</w:t>
            </w:r>
            <w:r>
              <w:rPr>
                <w:rFonts w:ascii="Times New Roman" w:cs="Times New Roman" w:eastAsia="Times New Roman" w:hAnsi="Times New Roman"/>
                <w:sz w:val="18"/>
                <w:szCs w:val="18"/>
                <w:u w:val="single" w:color="auto"/>
                <w:color w:val="0000FF"/>
              </w:rPr>
              <w:t>1*</w:t>
            </w:r>
          </w:p>
        </w:tc>
        <w:tc>
          <w:tcPr>
            <w:tcW w:w="780" w:type="dxa"/>
            <w:vAlign w:val="bottom"/>
            <w:shd w:val="clear" w:color="auto" w:fill="F4F4F4"/>
          </w:tcPr>
          <w:p>
            <w:pPr>
              <w:spacing w:after="0"/>
              <w:rPr>
                <w:sz w:val="21"/>
                <w:szCs w:val="21"/>
                <w:color w:val="auto"/>
              </w:rPr>
            </w:pPr>
          </w:p>
        </w:tc>
        <w:tc>
          <w:tcPr>
            <w:tcW w:w="9940" w:type="dxa"/>
            <w:vAlign w:val="bottom"/>
            <w:gridSpan w:val="5"/>
            <w:shd w:val="clear" w:color="auto" w:fill="F4F4F4"/>
          </w:tcPr>
          <w:p>
            <w:pPr>
              <w:ind w:left="300"/>
              <w:spacing w:after="0"/>
              <w:rPr>
                <w:sz w:val="20"/>
                <w:szCs w:val="20"/>
                <w:color w:val="auto"/>
              </w:rPr>
            </w:pPr>
            <w:r>
              <w:rPr>
                <w:rFonts w:ascii="Times New Roman" w:cs="Times New Roman" w:eastAsia="Times New Roman" w:hAnsi="Times New Roman"/>
                <w:sz w:val="18"/>
                <w:szCs w:val="18"/>
                <w:color w:val="auto"/>
              </w:rPr>
              <w:t>Power of Attorney (included in the signature page to this Registration Statement)</w:t>
            </w:r>
          </w:p>
        </w:tc>
        <w:tc>
          <w:tcPr>
            <w:tcW w:w="0" w:type="dxa"/>
            <w:vAlign w:val="bottom"/>
          </w:tcPr>
          <w:p>
            <w:pPr>
              <w:spacing w:after="0"/>
              <w:rPr>
                <w:sz w:val="1"/>
                <w:szCs w:val="1"/>
                <w:color w:val="auto"/>
              </w:rPr>
            </w:pPr>
          </w:p>
        </w:tc>
      </w:tr>
      <w:tr>
        <w:trPr>
          <w:trHeight w:val="169"/>
        </w:trPr>
        <w:tc>
          <w:tcPr>
            <w:tcW w:w="520" w:type="dxa"/>
            <w:vAlign w:val="bottom"/>
            <w:gridSpan w:val="4"/>
            <w:vMerge w:val="continue"/>
            <w:shd w:val="clear" w:color="auto" w:fill="F4F4F4"/>
          </w:tcPr>
          <w:p>
            <w:pPr>
              <w:spacing w:after="0"/>
              <w:rPr>
                <w:sz w:val="14"/>
                <w:szCs w:val="14"/>
                <w:color w:val="auto"/>
              </w:rPr>
            </w:pPr>
          </w:p>
        </w:tc>
        <w:tc>
          <w:tcPr>
            <w:tcW w:w="780" w:type="dxa"/>
            <w:vAlign w:val="bottom"/>
            <w:shd w:val="clear" w:color="auto" w:fill="F4F4F4"/>
          </w:tcPr>
          <w:p>
            <w:pPr>
              <w:spacing w:after="0"/>
              <w:rPr>
                <w:sz w:val="14"/>
                <w:szCs w:val="14"/>
                <w:color w:val="auto"/>
              </w:rPr>
            </w:pPr>
          </w:p>
        </w:tc>
        <w:tc>
          <w:tcPr>
            <w:tcW w:w="1200" w:type="dxa"/>
            <w:vAlign w:val="bottom"/>
            <w:shd w:val="clear" w:color="auto" w:fill="F4F4F4"/>
          </w:tcPr>
          <w:p>
            <w:pPr>
              <w:spacing w:after="0"/>
              <w:rPr>
                <w:sz w:val="14"/>
                <w:szCs w:val="14"/>
                <w:color w:val="auto"/>
              </w:rPr>
            </w:pPr>
          </w:p>
        </w:tc>
        <w:tc>
          <w:tcPr>
            <w:tcW w:w="860" w:type="dxa"/>
            <w:vAlign w:val="bottom"/>
            <w:shd w:val="clear" w:color="auto" w:fill="F4F4F4"/>
          </w:tcPr>
          <w:p>
            <w:pPr>
              <w:spacing w:after="0"/>
              <w:rPr>
                <w:sz w:val="14"/>
                <w:szCs w:val="14"/>
                <w:color w:val="auto"/>
              </w:rPr>
            </w:pPr>
          </w:p>
        </w:tc>
        <w:tc>
          <w:tcPr>
            <w:tcW w:w="2640" w:type="dxa"/>
            <w:vAlign w:val="bottom"/>
            <w:shd w:val="clear" w:color="auto" w:fill="F4F4F4"/>
          </w:tcPr>
          <w:p>
            <w:pPr>
              <w:spacing w:after="0"/>
              <w:rPr>
                <w:sz w:val="14"/>
                <w:szCs w:val="14"/>
                <w:color w:val="auto"/>
              </w:rPr>
            </w:pPr>
          </w:p>
        </w:tc>
        <w:tc>
          <w:tcPr>
            <w:tcW w:w="800" w:type="dxa"/>
            <w:vAlign w:val="bottom"/>
            <w:shd w:val="clear" w:color="auto" w:fill="F4F4F4"/>
          </w:tcPr>
          <w:p>
            <w:pPr>
              <w:spacing w:after="0"/>
              <w:rPr>
                <w:sz w:val="14"/>
                <w:szCs w:val="14"/>
                <w:color w:val="auto"/>
              </w:rPr>
            </w:pPr>
          </w:p>
        </w:tc>
        <w:tc>
          <w:tcPr>
            <w:tcW w:w="4440" w:type="dxa"/>
            <w:vAlign w:val="bottom"/>
            <w:shd w:val="clear" w:color="auto" w:fill="F4F4F4"/>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20" w:type="dxa"/>
            <w:vAlign w:val="bottom"/>
            <w:tcBorders>
              <w:top w:val="single" w:sz="8" w:color="F4F4F4"/>
            </w:tcBorders>
          </w:tcPr>
          <w:p>
            <w:pPr>
              <w:spacing w:after="0"/>
              <w:rPr>
                <w:sz w:val="23"/>
                <w:szCs w:val="23"/>
                <w:color w:val="auto"/>
              </w:rPr>
            </w:pPr>
          </w:p>
        </w:tc>
        <w:tc>
          <w:tcPr>
            <w:tcW w:w="32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80" w:type="dxa"/>
            <w:vAlign w:val="bottom"/>
            <w:tcBorders>
              <w:top w:val="single" w:sz="8" w:color="F4F4F4"/>
            </w:tcBorders>
          </w:tcPr>
          <w:p>
            <w:pPr>
              <w:spacing w:after="0"/>
              <w:rPr>
                <w:sz w:val="23"/>
                <w:szCs w:val="23"/>
                <w:color w:val="auto"/>
              </w:rPr>
            </w:pPr>
          </w:p>
        </w:tc>
        <w:tc>
          <w:tcPr>
            <w:tcW w:w="780" w:type="dxa"/>
            <w:vAlign w:val="bottom"/>
            <w:tcBorders>
              <w:top w:val="single" w:sz="8" w:color="F4F4F4"/>
            </w:tcBorders>
          </w:tcPr>
          <w:p>
            <w:pPr>
              <w:spacing w:after="0"/>
              <w:rPr>
                <w:sz w:val="23"/>
                <w:szCs w:val="23"/>
                <w:color w:val="auto"/>
              </w:rPr>
            </w:pPr>
          </w:p>
        </w:tc>
        <w:tc>
          <w:tcPr>
            <w:tcW w:w="1200" w:type="dxa"/>
            <w:vAlign w:val="bottom"/>
            <w:tcBorders>
              <w:top w:val="single" w:sz="8" w:color="F4F4F4"/>
            </w:tcBorders>
          </w:tcPr>
          <w:p>
            <w:pPr>
              <w:spacing w:after="0"/>
              <w:rPr>
                <w:sz w:val="23"/>
                <w:szCs w:val="23"/>
                <w:color w:val="auto"/>
              </w:rPr>
            </w:pPr>
          </w:p>
        </w:tc>
        <w:tc>
          <w:tcPr>
            <w:tcW w:w="860" w:type="dxa"/>
            <w:vAlign w:val="bottom"/>
            <w:tcBorders>
              <w:top w:val="single" w:sz="8" w:color="F4F4F4"/>
            </w:tcBorders>
          </w:tcPr>
          <w:p>
            <w:pPr>
              <w:spacing w:after="0"/>
              <w:rPr>
                <w:sz w:val="23"/>
                <w:szCs w:val="23"/>
                <w:color w:val="auto"/>
              </w:rPr>
            </w:pPr>
          </w:p>
        </w:tc>
        <w:tc>
          <w:tcPr>
            <w:tcW w:w="2640" w:type="dxa"/>
            <w:vAlign w:val="bottom"/>
            <w:tcBorders>
              <w:top w:val="single" w:sz="8" w:color="F4F4F4"/>
            </w:tcBorders>
          </w:tcPr>
          <w:p>
            <w:pPr>
              <w:spacing w:after="0"/>
              <w:rPr>
                <w:sz w:val="23"/>
                <w:szCs w:val="23"/>
                <w:color w:val="auto"/>
              </w:rPr>
            </w:pPr>
          </w:p>
        </w:tc>
        <w:tc>
          <w:tcPr>
            <w:tcW w:w="800" w:type="dxa"/>
            <w:vAlign w:val="bottom"/>
            <w:tcBorders>
              <w:top w:val="single" w:sz="8" w:color="F4F4F4"/>
            </w:tcBorders>
          </w:tcPr>
          <w:p>
            <w:pPr>
              <w:spacing w:after="0"/>
              <w:rPr>
                <w:sz w:val="23"/>
                <w:szCs w:val="23"/>
                <w:color w:val="auto"/>
              </w:rPr>
            </w:pPr>
          </w:p>
        </w:tc>
        <w:tc>
          <w:tcPr>
            <w:tcW w:w="4440" w:type="dxa"/>
            <w:vAlign w:val="bottom"/>
            <w:tcBorders>
              <w:top w:val="single" w:sz="8" w:color="F4F4F4"/>
            </w:tcBorders>
          </w:tcPr>
          <w:p>
            <w:pPr>
              <w:spacing w:after="0"/>
              <w:rPr>
                <w:sz w:val="23"/>
                <w:szCs w:val="23"/>
                <w:color w:val="auto"/>
              </w:rPr>
            </w:pPr>
          </w:p>
        </w:tc>
        <w:tc>
          <w:tcPr>
            <w:tcW w:w="0" w:type="dxa"/>
            <w:vAlign w:val="bottom"/>
          </w:tcPr>
          <w:p>
            <w:pPr>
              <w:spacing w:after="0"/>
              <w:rPr>
                <w:sz w:val="1"/>
                <w:szCs w:val="1"/>
                <w:color w:val="auto"/>
              </w:rPr>
            </w:pPr>
          </w:p>
        </w:tc>
      </w:tr>
      <w:tr>
        <w:trPr>
          <w:trHeight w:val="225"/>
        </w:trPr>
        <w:tc>
          <w:tcPr>
            <w:tcW w:w="20" w:type="dxa"/>
            <w:vAlign w:val="bottom"/>
            <w:shd w:val="clear" w:color="auto" w:fill="F4F4F4"/>
          </w:tcPr>
          <w:p>
            <w:pPr>
              <w:spacing w:after="0"/>
              <w:rPr>
                <w:sz w:val="19"/>
                <w:szCs w:val="19"/>
                <w:color w:val="auto"/>
              </w:rPr>
            </w:pPr>
          </w:p>
        </w:tc>
        <w:tc>
          <w:tcPr>
            <w:tcW w:w="320" w:type="dxa"/>
            <w:vAlign w:val="bottom"/>
            <w:vMerge w:val="restart"/>
            <w:shd w:val="clear" w:color="auto" w:fill="F4F4F4"/>
          </w:tcPr>
          <w:p>
            <w:pPr>
              <w:spacing w:after="0"/>
              <w:rPr>
                <w:rFonts w:ascii="Times New Roman" w:cs="Times New Roman" w:eastAsia="Times New Roman" w:hAnsi="Times New Roman"/>
                <w:sz w:val="18"/>
                <w:szCs w:val="18"/>
                <w:color w:val="0000FF"/>
                <w:w w:val="95"/>
              </w:rPr>
            </w:pPr>
            <w:hyperlink r:id="rId12">
              <w:r>
                <w:rPr>
                  <w:rFonts w:ascii="Times New Roman" w:cs="Times New Roman" w:eastAsia="Times New Roman" w:hAnsi="Times New Roman"/>
                  <w:sz w:val="18"/>
                  <w:szCs w:val="18"/>
                  <w:color w:val="0000FF"/>
                  <w:w w:val="95"/>
                </w:rPr>
                <w:t>99.</w:t>
              </w:r>
              <w:r>
                <w:rPr>
                  <w:rFonts w:ascii="Times New Roman" w:cs="Times New Roman" w:eastAsia="Times New Roman" w:hAnsi="Times New Roman"/>
                  <w:sz w:val="18"/>
                  <w:szCs w:val="18"/>
                  <w:u w:val="single" w:color="auto"/>
                  <w:color w:val="0000FF"/>
                  <w:w w:val="95"/>
                </w:rPr>
                <w:t>1</w:t>
              </w:r>
            </w:hyperlink>
          </w:p>
        </w:tc>
        <w:tc>
          <w:tcPr>
            <w:tcW w:w="100" w:type="dxa"/>
            <w:vAlign w:val="bottom"/>
            <w:shd w:val="clear" w:color="auto" w:fill="F4F4F4"/>
          </w:tcPr>
          <w:p>
            <w:pPr>
              <w:spacing w:after="0"/>
              <w:rPr>
                <w:sz w:val="19"/>
                <w:szCs w:val="19"/>
                <w:color w:val="auto"/>
              </w:rPr>
            </w:pPr>
          </w:p>
        </w:tc>
        <w:tc>
          <w:tcPr>
            <w:tcW w:w="80" w:type="dxa"/>
            <w:vAlign w:val="bottom"/>
            <w:shd w:val="clear" w:color="auto" w:fill="F4F4F4"/>
          </w:tcPr>
          <w:p>
            <w:pPr>
              <w:spacing w:after="0"/>
              <w:rPr>
                <w:sz w:val="19"/>
                <w:szCs w:val="19"/>
                <w:color w:val="auto"/>
              </w:rPr>
            </w:pPr>
          </w:p>
        </w:tc>
        <w:tc>
          <w:tcPr>
            <w:tcW w:w="780" w:type="dxa"/>
            <w:vAlign w:val="bottom"/>
            <w:shd w:val="clear" w:color="auto" w:fill="F4F4F4"/>
          </w:tcPr>
          <w:p>
            <w:pPr>
              <w:spacing w:after="0"/>
              <w:rPr>
                <w:sz w:val="19"/>
                <w:szCs w:val="19"/>
                <w:color w:val="auto"/>
              </w:rPr>
            </w:pPr>
          </w:p>
        </w:tc>
        <w:tc>
          <w:tcPr>
            <w:tcW w:w="9940" w:type="dxa"/>
            <w:vAlign w:val="bottom"/>
            <w:gridSpan w:val="5"/>
            <w:shd w:val="clear" w:color="auto" w:fill="F4F4F4"/>
          </w:tcPr>
          <w:p>
            <w:pPr>
              <w:ind w:left="300"/>
              <w:spacing w:after="0"/>
              <w:rPr>
                <w:sz w:val="20"/>
                <w:szCs w:val="20"/>
                <w:color w:val="auto"/>
              </w:rPr>
            </w:pPr>
            <w:r>
              <w:rPr>
                <w:rFonts w:ascii="Times New Roman" w:cs="Times New Roman" w:eastAsia="Times New Roman" w:hAnsi="Times New Roman"/>
                <w:sz w:val="18"/>
                <w:szCs w:val="18"/>
                <w:color w:val="auto"/>
              </w:rPr>
              <w:t>Blackbaud, Inc. 2016 Equity and Incentive Compensation Plan Amended and Restated as of June 10, 2026 (incorporated by</w:t>
            </w:r>
          </w:p>
        </w:tc>
        <w:tc>
          <w:tcPr>
            <w:tcW w:w="0" w:type="dxa"/>
            <w:vAlign w:val="bottom"/>
          </w:tcPr>
          <w:p>
            <w:pPr>
              <w:spacing w:after="0"/>
              <w:rPr>
                <w:sz w:val="1"/>
                <w:szCs w:val="1"/>
                <w:color w:val="auto"/>
              </w:rPr>
            </w:pPr>
          </w:p>
        </w:tc>
      </w:tr>
      <w:tr>
        <w:trPr>
          <w:trHeight w:val="140"/>
        </w:trPr>
        <w:tc>
          <w:tcPr>
            <w:tcW w:w="20" w:type="dxa"/>
            <w:vAlign w:val="bottom"/>
            <w:tcBorders>
              <w:bottom w:val="single" w:sz="8" w:color="F4F4F4"/>
            </w:tcBorders>
            <w:vMerge w:val="restart"/>
            <w:shd w:val="clear" w:color="auto" w:fill="F4F4F4"/>
          </w:tcPr>
          <w:p>
            <w:pPr>
              <w:spacing w:after="0"/>
              <w:rPr>
                <w:sz w:val="12"/>
                <w:szCs w:val="12"/>
                <w:color w:val="auto"/>
              </w:rPr>
            </w:pPr>
          </w:p>
        </w:tc>
        <w:tc>
          <w:tcPr>
            <w:tcW w:w="320" w:type="dxa"/>
            <w:vAlign w:val="bottom"/>
            <w:tcBorders>
              <w:bottom w:val="single" w:sz="8" w:color="0000FF"/>
            </w:tcBorders>
            <w:vMerge w:val="continue"/>
            <w:shd w:val="clear" w:color="auto" w:fill="F4F4F4"/>
          </w:tcPr>
          <w:p>
            <w:pPr>
              <w:spacing w:after="0"/>
              <w:rPr>
                <w:sz w:val="12"/>
                <w:szCs w:val="12"/>
                <w:color w:val="auto"/>
              </w:rPr>
            </w:pPr>
          </w:p>
        </w:tc>
        <w:tc>
          <w:tcPr>
            <w:tcW w:w="100" w:type="dxa"/>
            <w:vAlign w:val="bottom"/>
            <w:tcBorders>
              <w:bottom w:val="single" w:sz="8" w:color="F4F4F4"/>
            </w:tcBorders>
            <w:vMerge w:val="restart"/>
            <w:shd w:val="clear" w:color="auto" w:fill="F4F4F4"/>
          </w:tcPr>
          <w:p>
            <w:pPr>
              <w:spacing w:after="0"/>
              <w:rPr>
                <w:sz w:val="12"/>
                <w:szCs w:val="12"/>
                <w:color w:val="auto"/>
              </w:rPr>
            </w:pPr>
          </w:p>
        </w:tc>
        <w:tc>
          <w:tcPr>
            <w:tcW w:w="80" w:type="dxa"/>
            <w:vAlign w:val="bottom"/>
            <w:tcBorders>
              <w:bottom w:val="single" w:sz="8" w:color="F4F4F4"/>
            </w:tcBorders>
            <w:shd w:val="clear" w:color="auto" w:fill="F4F4F4"/>
          </w:tcPr>
          <w:p>
            <w:pPr>
              <w:spacing w:after="0"/>
              <w:rPr>
                <w:sz w:val="12"/>
                <w:szCs w:val="12"/>
                <w:color w:val="auto"/>
              </w:rPr>
            </w:pPr>
          </w:p>
        </w:tc>
        <w:tc>
          <w:tcPr>
            <w:tcW w:w="780" w:type="dxa"/>
            <w:vAlign w:val="bottom"/>
            <w:tcBorders>
              <w:bottom w:val="single" w:sz="8" w:color="F4F4F4"/>
            </w:tcBorders>
            <w:shd w:val="clear" w:color="auto" w:fill="F4F4F4"/>
          </w:tcPr>
          <w:p>
            <w:pPr>
              <w:spacing w:after="0"/>
              <w:rPr>
                <w:sz w:val="12"/>
                <w:szCs w:val="12"/>
                <w:color w:val="auto"/>
              </w:rPr>
            </w:pPr>
          </w:p>
        </w:tc>
        <w:tc>
          <w:tcPr>
            <w:tcW w:w="9940" w:type="dxa"/>
            <w:vAlign w:val="bottom"/>
            <w:tcBorders>
              <w:bottom w:val="single" w:sz="8" w:color="F4F4F4"/>
            </w:tcBorders>
            <w:gridSpan w:val="5"/>
            <w:vMerge w:val="restart"/>
            <w:shd w:val="clear" w:color="auto" w:fill="F4F4F4"/>
          </w:tcPr>
          <w:p>
            <w:pPr>
              <w:ind w:left="300"/>
              <w:spacing w:after="0" w:line="194"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reference to </w:t>
            </w:r>
            <w:hyperlink r:id="rId16">
              <w:r>
                <w:rPr>
                  <w:rFonts w:ascii="Times New Roman" w:cs="Times New Roman" w:eastAsia="Times New Roman" w:hAnsi="Times New Roman"/>
                  <w:sz w:val="18"/>
                  <w:szCs w:val="18"/>
                  <w:color w:val="0000FF"/>
                </w:rPr>
                <w:t>Appendix B</w:t>
              </w:r>
              <w:r>
                <w:rPr>
                  <w:rFonts w:ascii="Times New Roman" w:cs="Times New Roman" w:eastAsia="Times New Roman" w:hAnsi="Times New Roman"/>
                  <w:sz w:val="18"/>
                  <w:szCs w:val="18"/>
                  <w:color w:val="auto"/>
                </w:rPr>
                <w:t xml:space="preserve"> </w:t>
              </w:r>
            </w:hyperlink>
            <w:r>
              <w:rPr>
                <w:rFonts w:ascii="Times New Roman" w:cs="Times New Roman" w:eastAsia="Times New Roman" w:hAnsi="Times New Roman"/>
                <w:sz w:val="18"/>
                <w:szCs w:val="18"/>
                <w:color w:val="auto"/>
              </w:rPr>
              <w:t>to the Company’s Proxy Statement for its 2026 Annual Meeting Schedule 14A (File No.: 000-50600), filed</w:t>
            </w:r>
          </w:p>
        </w:tc>
        <w:tc>
          <w:tcPr>
            <w:tcW w:w="0" w:type="dxa"/>
            <w:vAlign w:val="bottom"/>
          </w:tcPr>
          <w:p>
            <w:pPr>
              <w:spacing w:after="0"/>
              <w:rPr>
                <w:sz w:val="1"/>
                <w:szCs w:val="1"/>
                <w:color w:val="auto"/>
              </w:rPr>
            </w:pPr>
          </w:p>
        </w:tc>
      </w:tr>
      <w:tr>
        <w:trPr>
          <w:trHeight w:val="34"/>
        </w:trPr>
        <w:tc>
          <w:tcPr>
            <w:tcW w:w="20" w:type="dxa"/>
            <w:vAlign w:val="bottom"/>
            <w:vMerge w:val="continue"/>
            <w:shd w:val="clear" w:color="auto" w:fill="F4F4F4"/>
          </w:tcPr>
          <w:p>
            <w:pPr>
              <w:spacing w:after="0"/>
              <w:rPr>
                <w:sz w:val="2"/>
                <w:szCs w:val="2"/>
                <w:color w:val="auto"/>
              </w:rPr>
            </w:pPr>
          </w:p>
        </w:tc>
        <w:tc>
          <w:tcPr>
            <w:tcW w:w="320" w:type="dxa"/>
            <w:vAlign w:val="bottom"/>
            <w:shd w:val="clear" w:color="auto" w:fill="F4F4F4"/>
          </w:tcPr>
          <w:p>
            <w:pPr>
              <w:spacing w:after="0"/>
              <w:rPr>
                <w:sz w:val="2"/>
                <w:szCs w:val="2"/>
                <w:color w:val="auto"/>
              </w:rPr>
            </w:pPr>
          </w:p>
        </w:tc>
        <w:tc>
          <w:tcPr>
            <w:tcW w:w="100" w:type="dxa"/>
            <w:vAlign w:val="bottom"/>
            <w:vMerge w:val="continue"/>
            <w:shd w:val="clear" w:color="auto" w:fill="F4F4F4"/>
          </w:tcPr>
          <w:p>
            <w:pPr>
              <w:spacing w:after="0"/>
              <w:rPr>
                <w:sz w:val="2"/>
                <w:szCs w:val="2"/>
                <w:color w:val="auto"/>
              </w:rPr>
            </w:pPr>
          </w:p>
        </w:tc>
        <w:tc>
          <w:tcPr>
            <w:tcW w:w="80" w:type="dxa"/>
            <w:vAlign w:val="bottom"/>
            <w:shd w:val="clear" w:color="auto" w:fill="F4F4F4"/>
          </w:tcPr>
          <w:p>
            <w:pPr>
              <w:spacing w:after="0"/>
              <w:rPr>
                <w:sz w:val="2"/>
                <w:szCs w:val="2"/>
                <w:color w:val="auto"/>
              </w:rPr>
            </w:pPr>
          </w:p>
        </w:tc>
        <w:tc>
          <w:tcPr>
            <w:tcW w:w="780" w:type="dxa"/>
            <w:vAlign w:val="bottom"/>
            <w:shd w:val="clear" w:color="auto" w:fill="F4F4F4"/>
          </w:tcPr>
          <w:p>
            <w:pPr>
              <w:spacing w:after="0"/>
              <w:rPr>
                <w:sz w:val="2"/>
                <w:szCs w:val="2"/>
                <w:color w:val="auto"/>
              </w:rPr>
            </w:pPr>
          </w:p>
        </w:tc>
        <w:tc>
          <w:tcPr>
            <w:tcW w:w="9940" w:type="dxa"/>
            <w:vAlign w:val="bottom"/>
            <w:gridSpan w:val="5"/>
            <w:vMerge w:val="continue"/>
            <w:shd w:val="clear" w:color="auto" w:fill="F4F4F4"/>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
        </w:trPr>
        <w:tc>
          <w:tcPr>
            <w:tcW w:w="20" w:type="dxa"/>
            <w:vAlign w:val="bottom"/>
            <w:shd w:val="clear" w:color="auto" w:fill="F4F4F4"/>
          </w:tcPr>
          <w:p>
            <w:pPr>
              <w:spacing w:after="0" w:line="20" w:lineRule="exact"/>
              <w:rPr>
                <w:sz w:val="1"/>
                <w:szCs w:val="1"/>
                <w:color w:val="auto"/>
              </w:rPr>
            </w:pPr>
          </w:p>
        </w:tc>
        <w:tc>
          <w:tcPr>
            <w:tcW w:w="320" w:type="dxa"/>
            <w:vAlign w:val="bottom"/>
            <w:shd w:val="clear" w:color="auto" w:fill="F4F4F4"/>
          </w:tcPr>
          <w:p>
            <w:pPr>
              <w:spacing w:after="0" w:line="20" w:lineRule="exact"/>
              <w:rPr>
                <w:sz w:val="1"/>
                <w:szCs w:val="1"/>
                <w:color w:val="auto"/>
              </w:rPr>
            </w:pPr>
          </w:p>
        </w:tc>
        <w:tc>
          <w:tcPr>
            <w:tcW w:w="100" w:type="dxa"/>
            <w:vAlign w:val="bottom"/>
            <w:shd w:val="clear" w:color="auto" w:fill="F4F4F4"/>
          </w:tcPr>
          <w:p>
            <w:pPr>
              <w:spacing w:after="0" w:line="20" w:lineRule="exact"/>
              <w:rPr>
                <w:sz w:val="1"/>
                <w:szCs w:val="1"/>
                <w:color w:val="auto"/>
              </w:rPr>
            </w:pPr>
          </w:p>
        </w:tc>
        <w:tc>
          <w:tcPr>
            <w:tcW w:w="80" w:type="dxa"/>
            <w:vAlign w:val="bottom"/>
            <w:shd w:val="clear" w:color="auto" w:fill="F4F4F4"/>
          </w:tcPr>
          <w:p>
            <w:pPr>
              <w:spacing w:after="0" w:line="20" w:lineRule="exact"/>
              <w:rPr>
                <w:sz w:val="1"/>
                <w:szCs w:val="1"/>
                <w:color w:val="auto"/>
              </w:rPr>
            </w:pPr>
          </w:p>
        </w:tc>
        <w:tc>
          <w:tcPr>
            <w:tcW w:w="780" w:type="dxa"/>
            <w:vAlign w:val="bottom"/>
            <w:shd w:val="clear" w:color="auto" w:fill="F4F4F4"/>
          </w:tcPr>
          <w:p>
            <w:pPr>
              <w:spacing w:after="0" w:line="20" w:lineRule="exact"/>
              <w:rPr>
                <w:sz w:val="1"/>
                <w:szCs w:val="1"/>
                <w:color w:val="auto"/>
              </w:rPr>
            </w:pPr>
          </w:p>
        </w:tc>
        <w:tc>
          <w:tcPr>
            <w:tcW w:w="1200" w:type="dxa"/>
            <w:vAlign w:val="bottom"/>
            <w:shd w:val="clear" w:color="auto" w:fill="F4F4F4"/>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7880" w:type="dxa"/>
            <w:vAlign w:val="bottom"/>
            <w:gridSpan w:val="3"/>
            <w:shd w:val="clear" w:color="auto" w:fill="F4F4F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20" w:type="dxa"/>
            <w:vAlign w:val="bottom"/>
            <w:tcBorders>
              <w:bottom w:val="single" w:sz="8" w:color="F4F4F4"/>
            </w:tcBorders>
            <w:shd w:val="clear" w:color="auto" w:fill="F4F4F4"/>
          </w:tcPr>
          <w:p>
            <w:pPr>
              <w:spacing w:after="0"/>
              <w:rPr>
                <w:sz w:val="21"/>
                <w:szCs w:val="21"/>
                <w:color w:val="auto"/>
              </w:rPr>
            </w:pPr>
          </w:p>
        </w:tc>
        <w:tc>
          <w:tcPr>
            <w:tcW w:w="320" w:type="dxa"/>
            <w:vAlign w:val="bottom"/>
            <w:tcBorders>
              <w:bottom w:val="single" w:sz="8" w:color="F4F4F4"/>
            </w:tcBorders>
            <w:shd w:val="clear" w:color="auto" w:fill="F4F4F4"/>
          </w:tcPr>
          <w:p>
            <w:pPr>
              <w:spacing w:after="0"/>
              <w:rPr>
                <w:sz w:val="21"/>
                <w:szCs w:val="21"/>
                <w:color w:val="auto"/>
              </w:rPr>
            </w:pPr>
          </w:p>
        </w:tc>
        <w:tc>
          <w:tcPr>
            <w:tcW w:w="100" w:type="dxa"/>
            <w:vAlign w:val="bottom"/>
            <w:tcBorders>
              <w:bottom w:val="single" w:sz="8" w:color="F4F4F4"/>
            </w:tcBorders>
            <w:shd w:val="clear" w:color="auto" w:fill="F4F4F4"/>
          </w:tcPr>
          <w:p>
            <w:pPr>
              <w:spacing w:after="0"/>
              <w:rPr>
                <w:sz w:val="21"/>
                <w:szCs w:val="21"/>
                <w:color w:val="auto"/>
              </w:rPr>
            </w:pPr>
          </w:p>
        </w:tc>
        <w:tc>
          <w:tcPr>
            <w:tcW w:w="80" w:type="dxa"/>
            <w:vAlign w:val="bottom"/>
            <w:tcBorders>
              <w:bottom w:val="single" w:sz="8" w:color="F4F4F4"/>
            </w:tcBorders>
            <w:shd w:val="clear" w:color="auto" w:fill="F4F4F4"/>
          </w:tcPr>
          <w:p>
            <w:pPr>
              <w:spacing w:after="0"/>
              <w:rPr>
                <w:sz w:val="21"/>
                <w:szCs w:val="21"/>
                <w:color w:val="auto"/>
              </w:rPr>
            </w:pPr>
          </w:p>
        </w:tc>
        <w:tc>
          <w:tcPr>
            <w:tcW w:w="780" w:type="dxa"/>
            <w:vAlign w:val="bottom"/>
            <w:tcBorders>
              <w:bottom w:val="single" w:sz="8" w:color="F4F4F4"/>
            </w:tcBorders>
            <w:shd w:val="clear" w:color="auto" w:fill="F4F4F4"/>
          </w:tcPr>
          <w:p>
            <w:pPr>
              <w:spacing w:after="0"/>
              <w:rPr>
                <w:sz w:val="21"/>
                <w:szCs w:val="21"/>
                <w:color w:val="auto"/>
              </w:rPr>
            </w:pPr>
          </w:p>
        </w:tc>
        <w:tc>
          <w:tcPr>
            <w:tcW w:w="9940" w:type="dxa"/>
            <w:vAlign w:val="bottom"/>
            <w:tcBorders>
              <w:bottom w:val="single" w:sz="8" w:color="F4F4F4"/>
            </w:tcBorders>
            <w:gridSpan w:val="5"/>
            <w:shd w:val="clear" w:color="auto" w:fill="F4F4F4"/>
          </w:tcPr>
          <w:p>
            <w:pPr>
              <w:ind w:left="300"/>
              <w:spacing w:after="0"/>
              <w:rPr>
                <w:sz w:val="20"/>
                <w:szCs w:val="20"/>
                <w:color w:val="auto"/>
              </w:rPr>
            </w:pPr>
            <w:r>
              <w:rPr>
                <w:rFonts w:ascii="Times New Roman" w:cs="Times New Roman" w:eastAsia="Times New Roman" w:hAnsi="Times New Roman"/>
                <w:sz w:val="18"/>
                <w:szCs w:val="18"/>
                <w:color w:val="auto"/>
              </w:rPr>
              <w:t>on April 21, 2026)</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6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2"/>
        </w:trPr>
        <w:tc>
          <w:tcPr>
            <w:tcW w:w="20" w:type="dxa"/>
            <w:vAlign w:val="bottom"/>
            <w:shd w:val="clear" w:color="auto" w:fill="F4F4F4"/>
          </w:tcPr>
          <w:p>
            <w:pPr>
              <w:spacing w:after="0"/>
              <w:rPr>
                <w:sz w:val="17"/>
                <w:szCs w:val="17"/>
                <w:color w:val="auto"/>
              </w:rPr>
            </w:pPr>
          </w:p>
        </w:tc>
        <w:tc>
          <w:tcPr>
            <w:tcW w:w="1280" w:type="dxa"/>
            <w:vAlign w:val="bottom"/>
            <w:gridSpan w:val="4"/>
            <w:shd w:val="clear" w:color="auto" w:fill="F4F4F4"/>
          </w:tcPr>
          <w:p>
            <w:pPr>
              <w:spacing w:after="0" w:line="202" w:lineRule="exact"/>
              <w:rPr>
                <w:sz w:val="20"/>
                <w:szCs w:val="20"/>
                <w:color w:val="auto"/>
              </w:rPr>
            </w:pPr>
            <w:r>
              <w:rPr>
                <w:rFonts w:ascii="Times New Roman" w:cs="Times New Roman" w:eastAsia="Times New Roman" w:hAnsi="Times New Roman"/>
                <w:sz w:val="18"/>
                <w:szCs w:val="18"/>
                <w:color w:val="0000FF"/>
              </w:rPr>
              <w:t>107.</w:t>
            </w:r>
            <w:r>
              <w:rPr>
                <w:rFonts w:ascii="Times New Roman" w:cs="Times New Roman" w:eastAsia="Times New Roman" w:hAnsi="Times New Roman"/>
                <w:sz w:val="18"/>
                <w:szCs w:val="18"/>
                <w:u w:val="single" w:color="auto"/>
                <w:color w:val="0000FF"/>
              </w:rPr>
              <w:t>1*</w:t>
            </w:r>
          </w:p>
        </w:tc>
        <w:tc>
          <w:tcPr>
            <w:tcW w:w="9940" w:type="dxa"/>
            <w:vAlign w:val="bottom"/>
            <w:gridSpan w:val="5"/>
            <w:shd w:val="clear" w:color="auto" w:fill="F4F4F4"/>
          </w:tcPr>
          <w:p>
            <w:pPr>
              <w:ind w:left="300"/>
              <w:spacing w:after="0" w:line="202" w:lineRule="exact"/>
              <w:rPr>
                <w:sz w:val="20"/>
                <w:szCs w:val="20"/>
                <w:color w:val="auto"/>
              </w:rPr>
            </w:pPr>
            <w:r>
              <w:rPr>
                <w:rFonts w:ascii="Times New Roman" w:cs="Times New Roman" w:eastAsia="Times New Roman" w:hAnsi="Times New Roman"/>
                <w:sz w:val="18"/>
                <w:szCs w:val="18"/>
                <w:color w:val="auto"/>
              </w:rPr>
              <w:t>Filing Fee Table</w:t>
            </w:r>
          </w:p>
        </w:tc>
        <w:tc>
          <w:tcPr>
            <w:tcW w:w="0" w:type="dxa"/>
            <w:vAlign w:val="bottom"/>
          </w:tcPr>
          <w:p>
            <w:pPr>
              <w:spacing w:after="0"/>
              <w:rPr>
                <w:sz w:val="1"/>
                <w:szCs w:val="1"/>
                <w:color w:val="auto"/>
              </w:rPr>
            </w:pPr>
          </w:p>
        </w:tc>
      </w:tr>
      <w:tr>
        <w:trPr>
          <w:trHeight w:val="48"/>
        </w:trPr>
        <w:tc>
          <w:tcPr>
            <w:tcW w:w="20" w:type="dxa"/>
            <w:vAlign w:val="bottom"/>
            <w:tcBorders>
              <w:top w:val="single" w:sz="8" w:color="F4F4F4"/>
            </w:tcBorders>
            <w:shd w:val="clear" w:color="auto" w:fill="F4F4F4"/>
          </w:tcPr>
          <w:p>
            <w:pPr>
              <w:spacing w:after="0"/>
              <w:rPr>
                <w:sz w:val="4"/>
                <w:szCs w:val="4"/>
                <w:color w:val="auto"/>
              </w:rPr>
            </w:pPr>
          </w:p>
        </w:tc>
        <w:tc>
          <w:tcPr>
            <w:tcW w:w="320" w:type="dxa"/>
            <w:vAlign w:val="bottom"/>
            <w:tcBorders>
              <w:top w:val="single" w:sz="8" w:color="0000FF"/>
            </w:tcBorders>
            <w:shd w:val="clear" w:color="auto" w:fill="F4F4F4"/>
          </w:tcPr>
          <w:p>
            <w:pPr>
              <w:spacing w:after="0"/>
              <w:rPr>
                <w:sz w:val="4"/>
                <w:szCs w:val="4"/>
                <w:color w:val="auto"/>
              </w:rPr>
            </w:pPr>
          </w:p>
        </w:tc>
        <w:tc>
          <w:tcPr>
            <w:tcW w:w="100" w:type="dxa"/>
            <w:vAlign w:val="bottom"/>
            <w:tcBorders>
              <w:top w:val="single" w:sz="8" w:color="0000FF"/>
            </w:tcBorders>
            <w:shd w:val="clear" w:color="auto" w:fill="F4F4F4"/>
          </w:tcPr>
          <w:p>
            <w:pPr>
              <w:spacing w:after="0"/>
              <w:rPr>
                <w:sz w:val="4"/>
                <w:szCs w:val="4"/>
                <w:color w:val="auto"/>
              </w:rPr>
            </w:pPr>
          </w:p>
        </w:tc>
        <w:tc>
          <w:tcPr>
            <w:tcW w:w="80" w:type="dxa"/>
            <w:vAlign w:val="bottom"/>
            <w:tcBorders>
              <w:top w:val="single" w:sz="8" w:color="0000FF"/>
            </w:tcBorders>
            <w:shd w:val="clear" w:color="auto" w:fill="F4F4F4"/>
          </w:tcPr>
          <w:p>
            <w:pPr>
              <w:spacing w:after="0"/>
              <w:rPr>
                <w:sz w:val="4"/>
                <w:szCs w:val="4"/>
                <w:color w:val="auto"/>
              </w:rPr>
            </w:pPr>
          </w:p>
        </w:tc>
        <w:tc>
          <w:tcPr>
            <w:tcW w:w="780" w:type="dxa"/>
            <w:vAlign w:val="bottom"/>
            <w:tcBorders>
              <w:top w:val="single" w:sz="8" w:color="F4F4F4"/>
            </w:tcBorders>
            <w:shd w:val="clear" w:color="auto" w:fill="F4F4F4"/>
          </w:tcPr>
          <w:p>
            <w:pPr>
              <w:spacing w:after="0"/>
              <w:rPr>
                <w:sz w:val="4"/>
                <w:szCs w:val="4"/>
                <w:color w:val="auto"/>
              </w:rPr>
            </w:pPr>
          </w:p>
        </w:tc>
        <w:tc>
          <w:tcPr>
            <w:tcW w:w="1200" w:type="dxa"/>
            <w:vAlign w:val="bottom"/>
            <w:tcBorders>
              <w:top w:val="single" w:sz="8" w:color="F4F4F4"/>
            </w:tcBorders>
            <w:shd w:val="clear" w:color="auto" w:fill="F4F4F4"/>
          </w:tcPr>
          <w:p>
            <w:pPr>
              <w:spacing w:after="0"/>
              <w:rPr>
                <w:sz w:val="4"/>
                <w:szCs w:val="4"/>
                <w:color w:val="auto"/>
              </w:rPr>
            </w:pPr>
          </w:p>
        </w:tc>
        <w:tc>
          <w:tcPr>
            <w:tcW w:w="860" w:type="dxa"/>
            <w:vAlign w:val="bottom"/>
            <w:tcBorders>
              <w:top w:val="single" w:sz="8" w:color="F4F4F4"/>
            </w:tcBorders>
            <w:shd w:val="clear" w:color="auto" w:fill="F4F4F4"/>
          </w:tcPr>
          <w:p>
            <w:pPr>
              <w:spacing w:after="0"/>
              <w:rPr>
                <w:sz w:val="4"/>
                <w:szCs w:val="4"/>
                <w:color w:val="auto"/>
              </w:rPr>
            </w:pPr>
          </w:p>
        </w:tc>
        <w:tc>
          <w:tcPr>
            <w:tcW w:w="2640" w:type="dxa"/>
            <w:vAlign w:val="bottom"/>
            <w:tcBorders>
              <w:top w:val="single" w:sz="8" w:color="F4F4F4"/>
            </w:tcBorders>
            <w:shd w:val="clear" w:color="auto" w:fill="F4F4F4"/>
          </w:tcPr>
          <w:p>
            <w:pPr>
              <w:spacing w:after="0"/>
              <w:rPr>
                <w:sz w:val="4"/>
                <w:szCs w:val="4"/>
                <w:color w:val="auto"/>
              </w:rPr>
            </w:pPr>
          </w:p>
        </w:tc>
        <w:tc>
          <w:tcPr>
            <w:tcW w:w="800" w:type="dxa"/>
            <w:vAlign w:val="bottom"/>
            <w:tcBorders>
              <w:top w:val="single" w:sz="8" w:color="F4F4F4"/>
            </w:tcBorders>
            <w:shd w:val="clear" w:color="auto" w:fill="F4F4F4"/>
          </w:tcPr>
          <w:p>
            <w:pPr>
              <w:spacing w:after="0"/>
              <w:rPr>
                <w:sz w:val="4"/>
                <w:szCs w:val="4"/>
                <w:color w:val="auto"/>
              </w:rPr>
            </w:pPr>
          </w:p>
        </w:tc>
        <w:tc>
          <w:tcPr>
            <w:tcW w:w="4440" w:type="dxa"/>
            <w:vAlign w:val="bottom"/>
            <w:tcBorders>
              <w:top w:val="single" w:sz="8" w:color="F4F4F4"/>
            </w:tcBorders>
            <w:shd w:val="clear" w:color="auto" w:fill="F4F4F4"/>
          </w:tcPr>
          <w:p>
            <w:pPr>
              <w:spacing w:after="0"/>
              <w:rPr>
                <w:sz w:val="4"/>
                <w:szCs w:val="4"/>
                <w:color w:val="auto"/>
              </w:rPr>
            </w:pPr>
          </w:p>
        </w:tc>
        <w:tc>
          <w:tcPr>
            <w:tcW w:w="0" w:type="dxa"/>
            <w:vAlign w:val="bottom"/>
          </w:tcPr>
          <w:p>
            <w:pPr>
              <w:spacing w:after="0"/>
              <w:rPr>
                <w:sz w:val="1"/>
                <w:szCs w:val="1"/>
                <w:color w:val="auto"/>
              </w:rPr>
            </w:pPr>
          </w:p>
        </w:tc>
      </w:tr>
      <w:tr>
        <w:trPr>
          <w:trHeight w:val="459"/>
        </w:trPr>
        <w:tc>
          <w:tcPr>
            <w:tcW w:w="13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 Filed herewith</w:t>
            </w:r>
          </w:p>
        </w:tc>
        <w:tc>
          <w:tcPr>
            <w:tcW w:w="1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31" w:right="339" w:bottom="1440" w:gutter="0" w:footer="0" w:header="0"/>
        </w:sectPr>
      </w:pPr>
    </w:p>
    <w:bookmarkStart w:id="3" w:name="page4"/>
    <w:bookmarkEnd w:id="3"/>
    <w:p>
      <w:pPr>
        <w:ind w:left="2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8"/>
          <w:szCs w:val="18"/>
          <w:b w:val="1"/>
          <w:bCs w:val="1"/>
          <w:color w:val="auto"/>
        </w:rPr>
        <w:t>Undertakings.</w:t>
      </w:r>
    </w:p>
    <w:p>
      <w:pPr>
        <w:spacing w:after="0" w:line="297" w:lineRule="exact"/>
        <w:rPr>
          <w:sz w:val="20"/>
          <w:szCs w:val="20"/>
          <w:color w:val="auto"/>
        </w:rPr>
      </w:pPr>
    </w:p>
    <w:p>
      <w:pPr>
        <w:ind w:left="380" w:hanging="372"/>
        <w:spacing w:after="0"/>
        <w:tabs>
          <w:tab w:leader="none" w:pos="3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w:t>
      </w:r>
    </w:p>
    <w:p>
      <w:pPr>
        <w:spacing w:after="0" w:line="171" w:lineRule="exact"/>
        <w:rPr>
          <w:rFonts w:ascii="Times New Roman" w:cs="Times New Roman" w:eastAsia="Times New Roman" w:hAnsi="Times New Roman"/>
          <w:sz w:val="18"/>
          <w:szCs w:val="18"/>
          <w:color w:val="auto"/>
        </w:rPr>
      </w:pPr>
    </w:p>
    <w:p>
      <w:pPr>
        <w:ind w:left="760" w:hanging="388"/>
        <w:spacing w:after="0"/>
        <w:tabs>
          <w:tab w:leader="none" w:pos="76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171" w:lineRule="exact"/>
        <w:rPr>
          <w:rFonts w:ascii="Times New Roman" w:cs="Times New Roman" w:eastAsia="Times New Roman" w:hAnsi="Times New Roman"/>
          <w:sz w:val="18"/>
          <w:szCs w:val="18"/>
          <w:color w:val="auto"/>
        </w:rPr>
      </w:pPr>
    </w:p>
    <w:p>
      <w:pPr>
        <w:ind w:left="1160" w:hanging="342"/>
        <w:spacing w:after="0"/>
        <w:tabs>
          <w:tab w:leader="none" w:pos="1160" w:val="left"/>
        </w:tabs>
        <w:numPr>
          <w:ilvl w:val="2"/>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 of 1933;</w:t>
      </w:r>
    </w:p>
    <w:p>
      <w:pPr>
        <w:spacing w:after="0" w:line="171" w:lineRule="exact"/>
        <w:rPr>
          <w:rFonts w:ascii="Times New Roman" w:cs="Times New Roman" w:eastAsia="Times New Roman" w:hAnsi="Times New Roman"/>
          <w:sz w:val="18"/>
          <w:szCs w:val="18"/>
          <w:color w:val="auto"/>
        </w:rPr>
      </w:pPr>
    </w:p>
    <w:p>
      <w:pPr>
        <w:ind w:left="1300" w:hanging="482"/>
        <w:spacing w:after="0" w:line="255" w:lineRule="auto"/>
        <w:tabs>
          <w:tab w:leader="none" w:pos="1232" w:val="left"/>
        </w:tabs>
        <w:numPr>
          <w:ilvl w:val="2"/>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this Registration Statement (or most recent post-effective amendment thereof) which, individually or in the aggregate, represent a fundamental change in the information set forth in this Registration Statement. Notwithstanding the foregoing, any increase or decrease in the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percent change in the maximum aggregate offering price set forth in the “Calculation of Registration Fee” table in the effective registration statement; and</w:t>
      </w:r>
    </w:p>
    <w:p>
      <w:pPr>
        <w:spacing w:after="0" w:line="134" w:lineRule="exact"/>
        <w:rPr>
          <w:rFonts w:ascii="Times New Roman" w:cs="Times New Roman" w:eastAsia="Times New Roman" w:hAnsi="Times New Roman"/>
          <w:sz w:val="18"/>
          <w:szCs w:val="18"/>
          <w:color w:val="auto"/>
        </w:rPr>
      </w:pPr>
    </w:p>
    <w:p>
      <w:pPr>
        <w:ind w:left="1300" w:hanging="482"/>
        <w:spacing w:after="0" w:line="282" w:lineRule="auto"/>
        <w:tabs>
          <w:tab w:leader="none" w:pos="1278" w:val="left"/>
        </w:tabs>
        <w:numPr>
          <w:ilvl w:val="2"/>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this Registration Statement or any material change to such information in this Registration Statement;</w:t>
      </w:r>
    </w:p>
    <w:p>
      <w:pPr>
        <w:spacing w:after="0" w:line="106" w:lineRule="exact"/>
        <w:rPr>
          <w:sz w:val="20"/>
          <w:szCs w:val="20"/>
          <w:color w:val="auto"/>
        </w:rPr>
      </w:pPr>
    </w:p>
    <w:p>
      <w:pPr>
        <w:ind w:right="60"/>
        <w:spacing w:after="0" w:line="267" w:lineRule="auto"/>
        <w:rPr>
          <w:sz w:val="20"/>
          <w:szCs w:val="20"/>
          <w:color w:val="auto"/>
        </w:rPr>
      </w:pP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paragraphs (a)(1)(i) and (a)(1)(ii) of this section do not apply if the information required to be included in a post-effective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amendment by those paragraphs is contained in reports filed with or furnished to the Commission by the Registrant pursuant to Section 13 or Section 15(d) of the Exchange Act that are incorporated by reference in the registration statement.</w:t>
      </w:r>
    </w:p>
    <w:p>
      <w:pPr>
        <w:spacing w:after="0" w:line="121" w:lineRule="exact"/>
        <w:rPr>
          <w:sz w:val="20"/>
          <w:szCs w:val="20"/>
          <w:color w:val="auto"/>
        </w:rPr>
      </w:pPr>
    </w:p>
    <w:p>
      <w:pPr>
        <w:jc w:val="both"/>
        <w:ind w:left="860" w:hanging="488"/>
        <w:spacing w:after="0" w:line="266" w:lineRule="auto"/>
        <w:tabs>
          <w:tab w:leader="none" w:pos="821"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8"/>
          <w:szCs w:val="18"/>
          <w:i w:val="1"/>
          <w:iCs w:val="1"/>
          <w:color w:val="auto"/>
        </w:rPr>
        <w:t xml:space="preserve">bona fide </w:t>
      </w:r>
      <w:r>
        <w:rPr>
          <w:rFonts w:ascii="Times New Roman" w:cs="Times New Roman" w:eastAsia="Times New Roman" w:hAnsi="Times New Roman"/>
          <w:sz w:val="18"/>
          <w:szCs w:val="18"/>
          <w:color w:val="auto"/>
        </w:rPr>
        <w:t>offering thereof.</w:t>
      </w:r>
    </w:p>
    <w:p>
      <w:pPr>
        <w:spacing w:after="0" w:line="121" w:lineRule="exact"/>
        <w:rPr>
          <w:rFonts w:ascii="Times New Roman" w:cs="Times New Roman" w:eastAsia="Times New Roman" w:hAnsi="Times New Roman"/>
          <w:sz w:val="18"/>
          <w:szCs w:val="18"/>
          <w:color w:val="auto"/>
        </w:rPr>
      </w:pPr>
    </w:p>
    <w:p>
      <w:pPr>
        <w:ind w:left="860" w:hanging="488"/>
        <w:spacing w:after="0" w:line="282" w:lineRule="auto"/>
        <w:tabs>
          <w:tab w:leader="none" w:pos="893"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107" w:lineRule="exact"/>
        <w:rPr>
          <w:rFonts w:ascii="Times New Roman" w:cs="Times New Roman" w:eastAsia="Times New Roman" w:hAnsi="Times New Roman"/>
          <w:sz w:val="18"/>
          <w:szCs w:val="18"/>
          <w:color w:val="auto"/>
        </w:rPr>
      </w:pPr>
    </w:p>
    <w:p>
      <w:pPr>
        <w:ind w:left="500" w:hanging="492"/>
        <w:spacing w:after="0" w:line="258" w:lineRule="auto"/>
        <w:tabs>
          <w:tab w:leader="none" w:pos="43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8"/>
          <w:szCs w:val="18"/>
          <w:i w:val="1"/>
          <w:iCs w:val="1"/>
          <w:color w:val="auto"/>
        </w:rPr>
        <w:t xml:space="preserve">bona fide </w:t>
      </w:r>
      <w:r>
        <w:rPr>
          <w:rFonts w:ascii="Times New Roman" w:cs="Times New Roman" w:eastAsia="Times New Roman" w:hAnsi="Times New Roman"/>
          <w:sz w:val="18"/>
          <w:szCs w:val="18"/>
          <w:color w:val="auto"/>
        </w:rPr>
        <w:t>offering thereof.</w:t>
      </w:r>
    </w:p>
    <w:p>
      <w:pPr>
        <w:spacing w:after="0" w:line="129" w:lineRule="exact"/>
        <w:rPr>
          <w:rFonts w:ascii="Times New Roman" w:cs="Times New Roman" w:eastAsia="Times New Roman" w:hAnsi="Times New Roman"/>
          <w:sz w:val="18"/>
          <w:szCs w:val="18"/>
          <w:color w:val="auto"/>
        </w:rPr>
      </w:pPr>
    </w:p>
    <w:p>
      <w:pPr>
        <w:jc w:val="both"/>
        <w:ind w:left="500" w:hanging="492"/>
        <w:spacing w:after="0" w:line="254" w:lineRule="auto"/>
        <w:tabs>
          <w:tab w:leader="none" w:pos="50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ectPr>
          <w:pgSz w:w="11900" w:h="16838" w:orient="portrait"/>
          <w:cols w:equalWidth="0" w:num="1">
            <w:col w:w="11240"/>
          </w:cols>
          <w:pgMar w:left="320" w:top="981"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Charleston, State of South Carolina, on June 12, 2026.</w:t>
      </w:r>
    </w:p>
    <w:p>
      <w:pPr>
        <w:spacing w:after="0" w:line="172"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BLACKBAUD, INC.</w:t>
      </w:r>
    </w:p>
    <w:p>
      <w:pPr>
        <w:spacing w:after="0" w:line="337" w:lineRule="exact"/>
        <w:rPr>
          <w:sz w:val="20"/>
          <w:szCs w:val="20"/>
          <w:color w:val="auto"/>
        </w:rPr>
      </w:pPr>
    </w:p>
    <w:p>
      <w:pPr>
        <w:ind w:left="4400"/>
        <w:spacing w:after="0"/>
        <w:tabs>
          <w:tab w:leader="none" w:pos="4820" w:val="left"/>
          <w:tab w:leader="none" w:pos="5180" w:val="left"/>
        </w:tabs>
        <w:rPr>
          <w:sz w:val="20"/>
          <w:szCs w:val="20"/>
          <w:color w:val="auto"/>
        </w:rPr>
      </w:pPr>
      <w:r>
        <w:rPr>
          <w:rFonts w:ascii="Times New Roman" w:cs="Times New Roman" w:eastAsia="Times New Roman" w:hAnsi="Times New Roman"/>
          <w:sz w:val="18"/>
          <w:szCs w:val="18"/>
          <w:color w:val="auto"/>
        </w:rPr>
        <w:t>By:</w:t>
        <w:tab/>
        <w:t>/S/</w:t>
      </w:r>
      <w:r>
        <w:rPr>
          <w:sz w:val="20"/>
          <w:szCs w:val="20"/>
          <w:color w:val="auto"/>
        </w:rPr>
        <w:tab/>
      </w:r>
      <w:r>
        <w:rPr>
          <w:rFonts w:ascii="Times New Roman" w:cs="Times New Roman" w:eastAsia="Times New Roman" w:hAnsi="Times New Roman"/>
          <w:sz w:val="17"/>
          <w:szCs w:val="17"/>
          <w:color w:val="auto"/>
        </w:rPr>
        <w:t>MICHAEL P. GIANONI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3056890</wp:posOffset>
            </wp:positionH>
            <wp:positionV relativeFrom="paragraph">
              <wp:posOffset>34290</wp:posOffset>
            </wp:positionV>
            <wp:extent cx="408051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extLst>
                    </a:blip>
                    <a:srcRect/>
                    <a:stretch>
                      <a:fillRect/>
                    </a:stretch>
                  </pic:blipFill>
                  <pic:spPr bwMode="auto">
                    <a:xfrm>
                      <a:off x="0" y="0"/>
                      <a:ext cx="4080510" cy="8255"/>
                    </a:xfrm>
                    <a:prstGeom prst="rect">
                      <a:avLst/>
                    </a:prstGeom>
                    <a:noFill/>
                  </pic:spPr>
                </pic:pic>
              </a:graphicData>
            </a:graphic>
          </wp:anchor>
        </w:drawing>
      </w:r>
    </w:p>
    <w:p>
      <w:pPr>
        <w:spacing w:after="0" w:line="57"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Michael P. Gianoni</w:t>
      </w:r>
    </w:p>
    <w:p>
      <w:pPr>
        <w:spacing w:after="0" w:line="63"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Chief Executive Officer, President and Vice Chairman of the Board</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 AND SIGNATURES</w:t>
      </w:r>
    </w:p>
    <w:p>
      <w:pPr>
        <w:spacing w:after="0" w:line="17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constitutes and appoints Messrs. Michael P. Gianoni, Chad M. Anderson and Jon W. Olson his or her true and lawful attorneys-in-fact and agents, each acting alone, with full power of substitution and resubstitution, from such person and in each person’s name, place and stead, in any and all capacities, to sign any and all amendments (including post-effective amendments) to this Registration Statement, under the Securities Act of 1933, as amended, and to file the same, with all exhibits thereto, and all other documents in connection therewith, with the Securities and Exchange Commission, granting unto said attorneys-in-fact and agents, full power and authority to do and perform each and every act and thing requisite and necessary to be done as fully to all intents and purposes as he might or could do in person, hereby ratifying and confirming all that said attorneys-in-fact and agents, or any of them, may lawfully do or cause to be done.</w:t>
      </w:r>
    </w:p>
    <w:p>
      <w:pPr>
        <w:spacing w:after="0" w:line="13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below by the following persons in the capacities and on the dates indicated.</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160" w:type="dxa"/>
            <w:vAlign w:val="bottom"/>
          </w:tcPr>
          <w:p>
            <w:pPr>
              <w:spacing w:after="0"/>
              <w:rPr>
                <w:sz w:val="20"/>
                <w:szCs w:val="20"/>
                <w:color w:val="auto"/>
              </w:rPr>
            </w:pPr>
          </w:p>
        </w:tc>
        <w:tc>
          <w:tcPr>
            <w:tcW w:w="59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1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Date</w:t>
            </w:r>
          </w:p>
        </w:tc>
        <w:tc>
          <w:tcPr>
            <w:tcW w:w="0" w:type="dxa"/>
            <w:vAlign w:val="bottom"/>
          </w:tcPr>
          <w:p>
            <w:pPr>
              <w:spacing w:after="0"/>
              <w:rPr>
                <w:sz w:val="1"/>
                <w:szCs w:val="1"/>
                <w:color w:val="auto"/>
              </w:rPr>
            </w:pPr>
          </w:p>
        </w:tc>
      </w:tr>
      <w:tr>
        <w:trPr>
          <w:trHeight w:val="27"/>
        </w:trPr>
        <w:tc>
          <w:tcPr>
            <w:tcW w:w="300" w:type="dxa"/>
            <w:vAlign w:val="bottom"/>
            <w:tcBorders>
              <w:bottom w:val="single" w:sz="8" w:color="auto"/>
            </w:tcBorders>
          </w:tcPr>
          <w:p>
            <w:pPr>
              <w:spacing w:after="0"/>
              <w:rPr>
                <w:sz w:val="2"/>
                <w:szCs w:val="2"/>
                <w:color w:val="auto"/>
              </w:rPr>
            </w:pPr>
          </w:p>
        </w:tc>
        <w:tc>
          <w:tcPr>
            <w:tcW w:w="31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5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88"/>
        </w:trPr>
        <w:tc>
          <w:tcPr>
            <w:tcW w:w="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w:t>
            </w:r>
          </w:p>
        </w:tc>
        <w:tc>
          <w:tcPr>
            <w:tcW w:w="3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MICHAEL P. GIANONI</w:t>
            </w:r>
          </w:p>
        </w:tc>
        <w:tc>
          <w:tcPr>
            <w:tcW w:w="160" w:type="dxa"/>
            <w:vAlign w:val="bottom"/>
          </w:tcPr>
          <w:p>
            <w:pPr>
              <w:spacing w:after="0"/>
              <w:rPr>
                <w:sz w:val="24"/>
                <w:szCs w:val="24"/>
                <w:color w:val="auto"/>
              </w:rPr>
            </w:pPr>
          </w:p>
        </w:tc>
        <w:tc>
          <w:tcPr>
            <w:tcW w:w="5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Chief Executive Officer, President and Vice Chairman of the Board</w:t>
            </w:r>
          </w:p>
        </w:tc>
        <w:tc>
          <w:tcPr>
            <w:tcW w:w="1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June 12, 2026</w:t>
            </w:r>
          </w:p>
        </w:tc>
        <w:tc>
          <w:tcPr>
            <w:tcW w:w="0" w:type="dxa"/>
            <w:vAlign w:val="bottom"/>
          </w:tcPr>
          <w:p>
            <w:pPr>
              <w:spacing w:after="0"/>
              <w:rPr>
                <w:sz w:val="1"/>
                <w:szCs w:val="1"/>
                <w:color w:val="auto"/>
              </w:rPr>
            </w:pPr>
          </w:p>
        </w:tc>
      </w:tr>
      <w:tr>
        <w:trPr>
          <w:trHeight w:val="45"/>
        </w:trPr>
        <w:tc>
          <w:tcPr>
            <w:tcW w:w="300" w:type="dxa"/>
            <w:vAlign w:val="bottom"/>
            <w:tcBorders>
              <w:bottom w:val="single" w:sz="8" w:color="auto"/>
            </w:tcBorders>
          </w:tcPr>
          <w:p>
            <w:pPr>
              <w:spacing w:after="0"/>
              <w:rPr>
                <w:sz w:val="3"/>
                <w:szCs w:val="3"/>
                <w:color w:val="auto"/>
              </w:rPr>
            </w:pPr>
          </w:p>
        </w:tc>
        <w:tc>
          <w:tcPr>
            <w:tcW w:w="3160" w:type="dxa"/>
            <w:vAlign w:val="bottom"/>
            <w:tcBorders>
              <w:bottom w:val="single" w:sz="8" w:color="auto"/>
            </w:tcBorders>
          </w:tcPr>
          <w:p>
            <w:pPr>
              <w:spacing w:after="0"/>
              <w:rPr>
                <w:sz w:val="3"/>
                <w:szCs w:val="3"/>
                <w:color w:val="auto"/>
              </w:rPr>
            </w:pPr>
          </w:p>
        </w:tc>
        <w:tc>
          <w:tcPr>
            <w:tcW w:w="160" w:type="dxa"/>
            <w:vAlign w:val="bottom"/>
            <w:vMerge w:val="restart"/>
          </w:tcPr>
          <w:p>
            <w:pPr>
              <w:spacing w:after="0"/>
              <w:rPr>
                <w:sz w:val="3"/>
                <w:szCs w:val="3"/>
                <w:color w:val="auto"/>
              </w:rPr>
            </w:pPr>
          </w:p>
        </w:tc>
        <w:tc>
          <w:tcPr>
            <w:tcW w:w="59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6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300" w:type="dxa"/>
            <w:vAlign w:val="bottom"/>
          </w:tcPr>
          <w:p>
            <w:pPr>
              <w:spacing w:after="0"/>
              <w:rPr>
                <w:sz w:val="14"/>
                <w:szCs w:val="14"/>
                <w:color w:val="auto"/>
              </w:rPr>
            </w:pPr>
          </w:p>
        </w:tc>
        <w:tc>
          <w:tcPr>
            <w:tcW w:w="3160" w:type="dxa"/>
            <w:vAlign w:val="bottom"/>
            <w:vMerge w:val="restart"/>
          </w:tcPr>
          <w:p>
            <w:pPr>
              <w:ind w:left="700"/>
              <w:spacing w:after="0"/>
              <w:rPr>
                <w:sz w:val="20"/>
                <w:szCs w:val="20"/>
                <w:color w:val="auto"/>
              </w:rPr>
            </w:pPr>
            <w:r>
              <w:rPr>
                <w:rFonts w:ascii="Times New Roman" w:cs="Times New Roman" w:eastAsia="Times New Roman" w:hAnsi="Times New Roman"/>
                <w:sz w:val="18"/>
                <w:szCs w:val="18"/>
                <w:color w:val="auto"/>
              </w:rPr>
              <w:t>Michael P. Gianoni</w:t>
            </w:r>
          </w:p>
        </w:tc>
        <w:tc>
          <w:tcPr>
            <w:tcW w:w="160" w:type="dxa"/>
            <w:vAlign w:val="bottom"/>
            <w:vMerge w:val="continue"/>
          </w:tcPr>
          <w:p>
            <w:pPr>
              <w:spacing w:after="0"/>
              <w:rPr>
                <w:sz w:val="14"/>
                <w:szCs w:val="14"/>
                <w:color w:val="auto"/>
              </w:rPr>
            </w:pPr>
          </w:p>
        </w:tc>
        <w:tc>
          <w:tcPr>
            <w:tcW w:w="5940" w:type="dxa"/>
            <w:vAlign w:val="bottom"/>
            <w:gridSpan w:val="2"/>
            <w:vMerge w:val="continue"/>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300" w:type="dxa"/>
            <w:vAlign w:val="bottom"/>
          </w:tcPr>
          <w:p>
            <w:pPr>
              <w:spacing w:after="0"/>
              <w:rPr>
                <w:sz w:val="5"/>
                <w:szCs w:val="5"/>
                <w:color w:val="auto"/>
              </w:rPr>
            </w:pPr>
          </w:p>
        </w:tc>
        <w:tc>
          <w:tcPr>
            <w:tcW w:w="316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57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6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2"/>
        </w:trPr>
        <w:tc>
          <w:tcPr>
            <w:tcW w:w="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w:t>
            </w:r>
          </w:p>
        </w:tc>
        <w:tc>
          <w:tcPr>
            <w:tcW w:w="3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CHAD M. ANDERSON</w:t>
            </w:r>
          </w:p>
        </w:tc>
        <w:tc>
          <w:tcPr>
            <w:tcW w:w="160" w:type="dxa"/>
            <w:vAlign w:val="bottom"/>
          </w:tcPr>
          <w:p>
            <w:pPr>
              <w:spacing w:after="0"/>
              <w:rPr>
                <w:sz w:val="24"/>
                <w:szCs w:val="24"/>
                <w:color w:val="auto"/>
              </w:rPr>
            </w:pPr>
          </w:p>
        </w:tc>
        <w:tc>
          <w:tcPr>
            <w:tcW w:w="5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c>
          <w:tcPr>
            <w:tcW w:w="1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June 12, 2026</w:t>
            </w:r>
          </w:p>
        </w:tc>
        <w:tc>
          <w:tcPr>
            <w:tcW w:w="0" w:type="dxa"/>
            <w:vAlign w:val="bottom"/>
          </w:tcPr>
          <w:p>
            <w:pPr>
              <w:spacing w:after="0"/>
              <w:rPr>
                <w:sz w:val="1"/>
                <w:szCs w:val="1"/>
                <w:color w:val="auto"/>
              </w:rPr>
            </w:pPr>
          </w:p>
        </w:tc>
      </w:tr>
      <w:tr>
        <w:trPr>
          <w:trHeight w:val="45"/>
        </w:trPr>
        <w:tc>
          <w:tcPr>
            <w:tcW w:w="300" w:type="dxa"/>
            <w:vAlign w:val="bottom"/>
            <w:tcBorders>
              <w:bottom w:val="single" w:sz="8" w:color="auto"/>
            </w:tcBorders>
          </w:tcPr>
          <w:p>
            <w:pPr>
              <w:spacing w:after="0"/>
              <w:rPr>
                <w:sz w:val="3"/>
                <w:szCs w:val="3"/>
                <w:color w:val="auto"/>
              </w:rPr>
            </w:pPr>
          </w:p>
        </w:tc>
        <w:tc>
          <w:tcPr>
            <w:tcW w:w="3160" w:type="dxa"/>
            <w:vAlign w:val="bottom"/>
            <w:tcBorders>
              <w:bottom w:val="single" w:sz="8" w:color="auto"/>
            </w:tcBorders>
          </w:tcPr>
          <w:p>
            <w:pPr>
              <w:spacing w:after="0"/>
              <w:rPr>
                <w:sz w:val="3"/>
                <w:szCs w:val="3"/>
                <w:color w:val="auto"/>
              </w:rPr>
            </w:pPr>
          </w:p>
        </w:tc>
        <w:tc>
          <w:tcPr>
            <w:tcW w:w="160" w:type="dxa"/>
            <w:vAlign w:val="bottom"/>
            <w:vMerge w:val="restart"/>
          </w:tcPr>
          <w:p>
            <w:pPr>
              <w:spacing w:after="0"/>
              <w:rPr>
                <w:sz w:val="3"/>
                <w:szCs w:val="3"/>
                <w:color w:val="auto"/>
              </w:rPr>
            </w:pPr>
          </w:p>
        </w:tc>
        <w:tc>
          <w:tcPr>
            <w:tcW w:w="59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tc>
        <w:tc>
          <w:tcPr>
            <w:tcW w:w="16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300" w:type="dxa"/>
            <w:vAlign w:val="bottom"/>
          </w:tcPr>
          <w:p>
            <w:pPr>
              <w:spacing w:after="0"/>
              <w:rPr>
                <w:sz w:val="14"/>
                <w:szCs w:val="14"/>
                <w:color w:val="auto"/>
              </w:rPr>
            </w:pPr>
          </w:p>
        </w:tc>
        <w:tc>
          <w:tcPr>
            <w:tcW w:w="3160" w:type="dxa"/>
            <w:vAlign w:val="bottom"/>
            <w:vMerge w:val="restart"/>
          </w:tcPr>
          <w:p>
            <w:pPr>
              <w:ind w:left="700"/>
              <w:spacing w:after="0"/>
              <w:rPr>
                <w:sz w:val="20"/>
                <w:szCs w:val="20"/>
                <w:color w:val="auto"/>
              </w:rPr>
            </w:pPr>
            <w:r>
              <w:rPr>
                <w:rFonts w:ascii="Times New Roman" w:cs="Times New Roman" w:eastAsia="Times New Roman" w:hAnsi="Times New Roman"/>
                <w:sz w:val="18"/>
                <w:szCs w:val="18"/>
                <w:color w:val="auto"/>
              </w:rPr>
              <w:t>Chad M. Anderson</w:t>
            </w:r>
          </w:p>
        </w:tc>
        <w:tc>
          <w:tcPr>
            <w:tcW w:w="160" w:type="dxa"/>
            <w:vAlign w:val="bottom"/>
            <w:vMerge w:val="continue"/>
          </w:tcPr>
          <w:p>
            <w:pPr>
              <w:spacing w:after="0"/>
              <w:rPr>
                <w:sz w:val="14"/>
                <w:szCs w:val="14"/>
                <w:color w:val="auto"/>
              </w:rPr>
            </w:pPr>
          </w:p>
        </w:tc>
        <w:tc>
          <w:tcPr>
            <w:tcW w:w="5940" w:type="dxa"/>
            <w:vAlign w:val="bottom"/>
            <w:gridSpan w:val="2"/>
            <w:vMerge w:val="continue"/>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300" w:type="dxa"/>
            <w:vAlign w:val="bottom"/>
          </w:tcPr>
          <w:p>
            <w:pPr>
              <w:spacing w:after="0"/>
              <w:rPr>
                <w:sz w:val="5"/>
                <w:szCs w:val="5"/>
                <w:color w:val="auto"/>
              </w:rPr>
            </w:pPr>
          </w:p>
        </w:tc>
        <w:tc>
          <w:tcPr>
            <w:tcW w:w="316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57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6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40"/>
        </w:trPr>
        <w:tc>
          <w:tcPr>
            <w:tcW w:w="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w:t>
            </w:r>
          </w:p>
        </w:tc>
        <w:tc>
          <w:tcPr>
            <w:tcW w:w="3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ANDREW M. LEITCH</w:t>
            </w:r>
          </w:p>
        </w:tc>
        <w:tc>
          <w:tcPr>
            <w:tcW w:w="160" w:type="dxa"/>
            <w:vAlign w:val="bottom"/>
          </w:tcPr>
          <w:p>
            <w:pPr>
              <w:spacing w:after="0"/>
              <w:rPr>
                <w:sz w:val="24"/>
                <w:szCs w:val="24"/>
                <w:color w:val="auto"/>
              </w:rPr>
            </w:pPr>
          </w:p>
        </w:tc>
        <w:tc>
          <w:tcPr>
            <w:tcW w:w="5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Chairman of the Board of Directors</w:t>
            </w:r>
          </w:p>
        </w:tc>
        <w:tc>
          <w:tcPr>
            <w:tcW w:w="1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June 12, 2026</w:t>
            </w:r>
          </w:p>
        </w:tc>
        <w:tc>
          <w:tcPr>
            <w:tcW w:w="0" w:type="dxa"/>
            <w:vAlign w:val="bottom"/>
          </w:tcPr>
          <w:p>
            <w:pPr>
              <w:spacing w:after="0"/>
              <w:rPr>
                <w:sz w:val="1"/>
                <w:szCs w:val="1"/>
                <w:color w:val="auto"/>
              </w:rPr>
            </w:pPr>
          </w:p>
        </w:tc>
      </w:tr>
      <w:tr>
        <w:trPr>
          <w:trHeight w:val="27"/>
        </w:trPr>
        <w:tc>
          <w:tcPr>
            <w:tcW w:w="300" w:type="dxa"/>
            <w:vAlign w:val="bottom"/>
            <w:tcBorders>
              <w:bottom w:val="single" w:sz="8" w:color="auto"/>
            </w:tcBorders>
          </w:tcPr>
          <w:p>
            <w:pPr>
              <w:spacing w:after="0"/>
              <w:rPr>
                <w:sz w:val="2"/>
                <w:szCs w:val="2"/>
                <w:color w:val="auto"/>
              </w:rPr>
            </w:pPr>
          </w:p>
        </w:tc>
        <w:tc>
          <w:tcPr>
            <w:tcW w:w="31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5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00" w:type="dxa"/>
            <w:vAlign w:val="bottom"/>
          </w:tcPr>
          <w:p>
            <w:pPr>
              <w:spacing w:after="0"/>
              <w:rPr>
                <w:sz w:val="20"/>
                <w:szCs w:val="20"/>
                <w:color w:val="auto"/>
              </w:rPr>
            </w:pPr>
          </w:p>
        </w:tc>
        <w:tc>
          <w:tcPr>
            <w:tcW w:w="316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Andrew M. Leitch</w:t>
            </w:r>
          </w:p>
        </w:tc>
        <w:tc>
          <w:tcPr>
            <w:tcW w:w="160" w:type="dxa"/>
            <w:vAlign w:val="bottom"/>
          </w:tcPr>
          <w:p>
            <w:pPr>
              <w:spacing w:after="0"/>
              <w:rPr>
                <w:sz w:val="20"/>
                <w:szCs w:val="20"/>
                <w:color w:val="auto"/>
              </w:rPr>
            </w:pPr>
          </w:p>
        </w:tc>
        <w:tc>
          <w:tcPr>
            <w:tcW w:w="5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w:t>
            </w:r>
          </w:p>
        </w:tc>
        <w:tc>
          <w:tcPr>
            <w:tcW w:w="3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DENEEN M. DEFIORE</w:t>
            </w:r>
          </w:p>
        </w:tc>
        <w:tc>
          <w:tcPr>
            <w:tcW w:w="160" w:type="dxa"/>
            <w:vAlign w:val="bottom"/>
          </w:tcPr>
          <w:p>
            <w:pPr>
              <w:spacing w:after="0"/>
              <w:rPr>
                <w:sz w:val="24"/>
                <w:szCs w:val="24"/>
                <w:color w:val="auto"/>
              </w:rPr>
            </w:pPr>
          </w:p>
        </w:tc>
        <w:tc>
          <w:tcPr>
            <w:tcW w:w="5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June 12, 2026</w:t>
            </w:r>
          </w:p>
        </w:tc>
        <w:tc>
          <w:tcPr>
            <w:tcW w:w="0" w:type="dxa"/>
            <w:vAlign w:val="bottom"/>
          </w:tcPr>
          <w:p>
            <w:pPr>
              <w:spacing w:after="0"/>
              <w:rPr>
                <w:sz w:val="1"/>
                <w:szCs w:val="1"/>
                <w:color w:val="auto"/>
              </w:rPr>
            </w:pPr>
          </w:p>
        </w:tc>
      </w:tr>
      <w:tr>
        <w:trPr>
          <w:trHeight w:val="27"/>
        </w:trPr>
        <w:tc>
          <w:tcPr>
            <w:tcW w:w="300" w:type="dxa"/>
            <w:vAlign w:val="bottom"/>
            <w:tcBorders>
              <w:bottom w:val="single" w:sz="8" w:color="auto"/>
            </w:tcBorders>
          </w:tcPr>
          <w:p>
            <w:pPr>
              <w:spacing w:after="0"/>
              <w:rPr>
                <w:sz w:val="2"/>
                <w:szCs w:val="2"/>
                <w:color w:val="auto"/>
              </w:rPr>
            </w:pPr>
          </w:p>
        </w:tc>
        <w:tc>
          <w:tcPr>
            <w:tcW w:w="31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5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00" w:type="dxa"/>
            <w:vAlign w:val="bottom"/>
          </w:tcPr>
          <w:p>
            <w:pPr>
              <w:spacing w:after="0"/>
              <w:rPr>
                <w:sz w:val="20"/>
                <w:szCs w:val="20"/>
                <w:color w:val="auto"/>
              </w:rPr>
            </w:pPr>
          </w:p>
        </w:tc>
        <w:tc>
          <w:tcPr>
            <w:tcW w:w="316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Deneen M. DeFiore</w:t>
            </w:r>
          </w:p>
        </w:tc>
        <w:tc>
          <w:tcPr>
            <w:tcW w:w="160" w:type="dxa"/>
            <w:vAlign w:val="bottom"/>
          </w:tcPr>
          <w:p>
            <w:pPr>
              <w:spacing w:after="0"/>
              <w:rPr>
                <w:sz w:val="20"/>
                <w:szCs w:val="20"/>
                <w:color w:val="auto"/>
              </w:rPr>
            </w:pPr>
          </w:p>
        </w:tc>
        <w:tc>
          <w:tcPr>
            <w:tcW w:w="5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w:t>
            </w:r>
          </w:p>
        </w:tc>
        <w:tc>
          <w:tcPr>
            <w:tcW w:w="3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 ROGER NANNEY</w:t>
            </w:r>
          </w:p>
        </w:tc>
        <w:tc>
          <w:tcPr>
            <w:tcW w:w="160" w:type="dxa"/>
            <w:vAlign w:val="bottom"/>
          </w:tcPr>
          <w:p>
            <w:pPr>
              <w:spacing w:after="0"/>
              <w:rPr>
                <w:sz w:val="24"/>
                <w:szCs w:val="24"/>
                <w:color w:val="auto"/>
              </w:rPr>
            </w:pPr>
          </w:p>
        </w:tc>
        <w:tc>
          <w:tcPr>
            <w:tcW w:w="5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June 12, 2026</w:t>
            </w:r>
          </w:p>
        </w:tc>
        <w:tc>
          <w:tcPr>
            <w:tcW w:w="0" w:type="dxa"/>
            <w:vAlign w:val="bottom"/>
          </w:tcPr>
          <w:p>
            <w:pPr>
              <w:spacing w:after="0"/>
              <w:rPr>
                <w:sz w:val="1"/>
                <w:szCs w:val="1"/>
                <w:color w:val="auto"/>
              </w:rPr>
            </w:pPr>
          </w:p>
        </w:tc>
      </w:tr>
      <w:tr>
        <w:trPr>
          <w:trHeight w:val="27"/>
        </w:trPr>
        <w:tc>
          <w:tcPr>
            <w:tcW w:w="300" w:type="dxa"/>
            <w:vAlign w:val="bottom"/>
            <w:tcBorders>
              <w:bottom w:val="single" w:sz="8" w:color="auto"/>
            </w:tcBorders>
          </w:tcPr>
          <w:p>
            <w:pPr>
              <w:spacing w:after="0"/>
              <w:rPr>
                <w:sz w:val="2"/>
                <w:szCs w:val="2"/>
                <w:color w:val="auto"/>
              </w:rPr>
            </w:pPr>
          </w:p>
        </w:tc>
        <w:tc>
          <w:tcPr>
            <w:tcW w:w="31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5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00" w:type="dxa"/>
            <w:vAlign w:val="bottom"/>
          </w:tcPr>
          <w:p>
            <w:pPr>
              <w:spacing w:after="0"/>
              <w:rPr>
                <w:sz w:val="20"/>
                <w:szCs w:val="20"/>
                <w:color w:val="auto"/>
              </w:rPr>
            </w:pPr>
          </w:p>
        </w:tc>
        <w:tc>
          <w:tcPr>
            <w:tcW w:w="316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D. Roger Nanney</w:t>
            </w:r>
          </w:p>
        </w:tc>
        <w:tc>
          <w:tcPr>
            <w:tcW w:w="160" w:type="dxa"/>
            <w:vAlign w:val="bottom"/>
          </w:tcPr>
          <w:p>
            <w:pPr>
              <w:spacing w:after="0"/>
              <w:rPr>
                <w:sz w:val="20"/>
                <w:szCs w:val="20"/>
                <w:color w:val="auto"/>
              </w:rPr>
            </w:pPr>
          </w:p>
        </w:tc>
        <w:tc>
          <w:tcPr>
            <w:tcW w:w="5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w:t>
            </w:r>
          </w:p>
        </w:tc>
        <w:tc>
          <w:tcPr>
            <w:tcW w:w="3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BRADLEY L. PYBURN</w:t>
            </w:r>
          </w:p>
        </w:tc>
        <w:tc>
          <w:tcPr>
            <w:tcW w:w="160" w:type="dxa"/>
            <w:vAlign w:val="bottom"/>
          </w:tcPr>
          <w:p>
            <w:pPr>
              <w:spacing w:after="0"/>
              <w:rPr>
                <w:sz w:val="24"/>
                <w:szCs w:val="24"/>
                <w:color w:val="auto"/>
              </w:rPr>
            </w:pPr>
          </w:p>
        </w:tc>
        <w:tc>
          <w:tcPr>
            <w:tcW w:w="5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June 12, 2026</w:t>
            </w:r>
          </w:p>
        </w:tc>
        <w:tc>
          <w:tcPr>
            <w:tcW w:w="0" w:type="dxa"/>
            <w:vAlign w:val="bottom"/>
          </w:tcPr>
          <w:p>
            <w:pPr>
              <w:spacing w:after="0"/>
              <w:rPr>
                <w:sz w:val="1"/>
                <w:szCs w:val="1"/>
                <w:color w:val="auto"/>
              </w:rPr>
            </w:pPr>
          </w:p>
        </w:tc>
      </w:tr>
      <w:tr>
        <w:trPr>
          <w:trHeight w:val="27"/>
        </w:trPr>
        <w:tc>
          <w:tcPr>
            <w:tcW w:w="300" w:type="dxa"/>
            <w:vAlign w:val="bottom"/>
            <w:tcBorders>
              <w:bottom w:val="single" w:sz="8" w:color="auto"/>
            </w:tcBorders>
          </w:tcPr>
          <w:p>
            <w:pPr>
              <w:spacing w:after="0"/>
              <w:rPr>
                <w:sz w:val="2"/>
                <w:szCs w:val="2"/>
                <w:color w:val="auto"/>
              </w:rPr>
            </w:pPr>
          </w:p>
        </w:tc>
        <w:tc>
          <w:tcPr>
            <w:tcW w:w="31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5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300" w:type="dxa"/>
            <w:vAlign w:val="bottom"/>
          </w:tcPr>
          <w:p>
            <w:pPr>
              <w:spacing w:after="0"/>
              <w:rPr>
                <w:sz w:val="20"/>
                <w:szCs w:val="20"/>
                <w:color w:val="auto"/>
              </w:rPr>
            </w:pPr>
          </w:p>
        </w:tc>
        <w:tc>
          <w:tcPr>
            <w:tcW w:w="316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Bradley L. Pyburn</w:t>
            </w:r>
          </w:p>
        </w:tc>
        <w:tc>
          <w:tcPr>
            <w:tcW w:w="160" w:type="dxa"/>
            <w:vAlign w:val="bottom"/>
          </w:tcPr>
          <w:p>
            <w:pPr>
              <w:spacing w:after="0"/>
              <w:rPr>
                <w:sz w:val="20"/>
                <w:szCs w:val="20"/>
                <w:color w:val="auto"/>
              </w:rPr>
            </w:pPr>
          </w:p>
        </w:tc>
        <w:tc>
          <w:tcPr>
            <w:tcW w:w="5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w:t>
            </w:r>
          </w:p>
        </w:tc>
        <w:tc>
          <w:tcPr>
            <w:tcW w:w="3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KRISTIAN P. TALVITIE</w:t>
            </w:r>
          </w:p>
        </w:tc>
        <w:tc>
          <w:tcPr>
            <w:tcW w:w="160" w:type="dxa"/>
            <w:vAlign w:val="bottom"/>
          </w:tcPr>
          <w:p>
            <w:pPr>
              <w:spacing w:after="0"/>
              <w:rPr>
                <w:sz w:val="24"/>
                <w:szCs w:val="24"/>
                <w:color w:val="auto"/>
              </w:rPr>
            </w:pPr>
          </w:p>
        </w:tc>
        <w:tc>
          <w:tcPr>
            <w:tcW w:w="5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June 12, 2026</w:t>
            </w:r>
          </w:p>
        </w:tc>
        <w:tc>
          <w:tcPr>
            <w:tcW w:w="0" w:type="dxa"/>
            <w:vAlign w:val="bottom"/>
          </w:tcPr>
          <w:p>
            <w:pPr>
              <w:spacing w:after="0"/>
              <w:rPr>
                <w:sz w:val="1"/>
                <w:szCs w:val="1"/>
                <w:color w:val="auto"/>
              </w:rPr>
            </w:pPr>
          </w:p>
        </w:tc>
      </w:tr>
      <w:tr>
        <w:trPr>
          <w:trHeight w:val="27"/>
        </w:trPr>
        <w:tc>
          <w:tcPr>
            <w:tcW w:w="300" w:type="dxa"/>
            <w:vAlign w:val="bottom"/>
            <w:tcBorders>
              <w:bottom w:val="single" w:sz="8" w:color="auto"/>
            </w:tcBorders>
          </w:tcPr>
          <w:p>
            <w:pPr>
              <w:spacing w:after="0"/>
              <w:rPr>
                <w:sz w:val="2"/>
                <w:szCs w:val="2"/>
                <w:color w:val="auto"/>
              </w:rPr>
            </w:pPr>
          </w:p>
        </w:tc>
        <w:tc>
          <w:tcPr>
            <w:tcW w:w="31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5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300" w:type="dxa"/>
            <w:vAlign w:val="bottom"/>
          </w:tcPr>
          <w:p>
            <w:pPr>
              <w:spacing w:after="0"/>
              <w:rPr>
                <w:sz w:val="20"/>
                <w:szCs w:val="20"/>
                <w:color w:val="auto"/>
              </w:rPr>
            </w:pPr>
          </w:p>
        </w:tc>
        <w:tc>
          <w:tcPr>
            <w:tcW w:w="316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Kristian P. Talvitie</w:t>
            </w:r>
          </w:p>
        </w:tc>
        <w:tc>
          <w:tcPr>
            <w:tcW w:w="160" w:type="dxa"/>
            <w:vAlign w:val="bottom"/>
          </w:tcPr>
          <w:p>
            <w:pPr>
              <w:spacing w:after="0"/>
              <w:rPr>
                <w:sz w:val="20"/>
                <w:szCs w:val="20"/>
                <w:color w:val="auto"/>
              </w:rPr>
            </w:pPr>
          </w:p>
        </w:tc>
        <w:tc>
          <w:tcPr>
            <w:tcW w:w="5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27" w:right="339" w:bottom="1440" w:gutter="0" w:footer="0" w:header="0"/>
        </w:sectPr>
      </w:pPr>
    </w:p>
    <w:bookmarkStart w:id="5" w:name="page6"/>
    <w:bookmarkEnd w:id="5"/>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Exhibit 107.1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Calculation of Filing Fee Tables</w:t>
      </w:r>
    </w:p>
    <w:p>
      <w:pPr>
        <w:spacing w:after="0" w:line="185"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b w:val="1"/>
          <w:bCs w:val="1"/>
          <w:color w:val="auto"/>
        </w:rPr>
        <w:t>Form S-8</w:t>
      </w:r>
    </w:p>
    <w:p>
      <w:pPr>
        <w:spacing w:after="0" w:line="6"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(Form Type)</w:t>
      </w:r>
    </w:p>
    <w:p>
      <w:pPr>
        <w:spacing w:after="0" w:line="153"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Blackbaud, Inc.</w:t>
      </w:r>
    </w:p>
    <w:p>
      <w:pPr>
        <w:jc w:val="center"/>
        <w:ind w:right="2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0" w:lineRule="exact"/>
        <w:rPr>
          <w:sz w:val="20"/>
          <w:szCs w:val="20"/>
          <w:color w:val="auto"/>
        </w:rPr>
      </w:pPr>
    </w:p>
    <w:p>
      <w:pPr>
        <w:spacing w:after="0" w:line="2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Table 1: Newly Registered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7140575" cy="12687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a:extLst>
                        <a:ext uri="{28A0092B-C50C-407E-A947-70E740481C1C}"/>
                      </a:extLst>
                    </a:blip>
                    <a:srcRect/>
                    <a:stretch>
                      <a:fillRect/>
                    </a:stretch>
                  </pic:blipFill>
                  <pic:spPr bwMode="auto">
                    <a:xfrm>
                      <a:off x="0" y="0"/>
                      <a:ext cx="7140575" cy="126873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tbl>
      <w:tblPr>
        <w:tblLayout w:type="fixed"/>
        <w:tblInd w:w="100" w:type="dxa"/>
        <w:tblCellMar>
          <w:top w:w="0" w:type="dxa"/>
          <w:left w:w="0" w:type="dxa"/>
          <w:bottom w:w="0" w:type="dxa"/>
          <w:right w:w="0" w:type="dxa"/>
        </w:tblCellMar>
      </w:tblPr>
      <w:tr>
        <w:trPr>
          <w:trHeight w:val="161"/>
        </w:trPr>
        <w:tc>
          <w:tcPr>
            <w:tcW w:w="9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440" w:type="dxa"/>
            <w:vAlign w:val="bottom"/>
            <w:vMerge w:val="restart"/>
          </w:tcPr>
          <w:p>
            <w:pPr>
              <w:jc w:val="center"/>
              <w:ind w:left="68"/>
              <w:spacing w:after="0"/>
              <w:rPr>
                <w:sz w:val="20"/>
                <w:szCs w:val="20"/>
                <w:color w:val="auto"/>
              </w:rPr>
            </w:pPr>
            <w:r>
              <w:rPr>
                <w:rFonts w:ascii="Times New Roman" w:cs="Times New Roman" w:eastAsia="Times New Roman" w:hAnsi="Times New Roman"/>
                <w:sz w:val="14"/>
                <w:szCs w:val="14"/>
                <w:b w:val="1"/>
                <w:bCs w:val="1"/>
                <w:color w:val="auto"/>
              </w:rPr>
              <w:t>Fee</w:t>
            </w:r>
          </w:p>
        </w:tc>
        <w:tc>
          <w:tcPr>
            <w:tcW w:w="1420" w:type="dxa"/>
            <w:vAlign w:val="bottom"/>
          </w:tcPr>
          <w:p>
            <w:pPr>
              <w:spacing w:after="0"/>
              <w:rPr>
                <w:sz w:val="13"/>
                <w:szCs w:val="13"/>
                <w:color w:val="auto"/>
              </w:rPr>
            </w:pPr>
          </w:p>
        </w:tc>
        <w:tc>
          <w:tcPr>
            <w:tcW w:w="1380" w:type="dxa"/>
            <w:vAlign w:val="bottom"/>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w w:val="99"/>
              </w:rPr>
              <w:t>Proposed</w:t>
            </w:r>
          </w:p>
        </w:tc>
        <w:tc>
          <w:tcPr>
            <w:tcW w:w="19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940" w:type="dxa"/>
            <w:vAlign w:val="bottom"/>
            <w:vMerge w:val="restart"/>
          </w:tcPr>
          <w:p>
            <w:pPr>
              <w:jc w:val="center"/>
              <w:ind w:right="348"/>
              <w:spacing w:after="0"/>
              <w:rPr>
                <w:sz w:val="20"/>
                <w:szCs w:val="20"/>
                <w:color w:val="auto"/>
              </w:rPr>
            </w:pPr>
            <w:r>
              <w:rPr>
                <w:rFonts w:ascii="Times New Roman" w:cs="Times New Roman" w:eastAsia="Times New Roman" w:hAnsi="Times New Roman"/>
                <w:sz w:val="14"/>
                <w:szCs w:val="14"/>
                <w:b w:val="1"/>
                <w:bCs w:val="1"/>
                <w:color w:val="auto"/>
              </w:rPr>
              <w:t>Security</w:t>
            </w:r>
          </w:p>
        </w:tc>
        <w:tc>
          <w:tcPr>
            <w:tcW w:w="15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Security</w:t>
            </w:r>
          </w:p>
        </w:tc>
        <w:tc>
          <w:tcPr>
            <w:tcW w:w="1440" w:type="dxa"/>
            <w:vAlign w:val="bottom"/>
            <w:vMerge w:val="continue"/>
          </w:tcPr>
          <w:p>
            <w:pPr>
              <w:spacing w:after="0"/>
              <w:rPr>
                <w:sz w:val="12"/>
                <w:szCs w:val="12"/>
                <w:color w:val="auto"/>
              </w:rPr>
            </w:pPr>
          </w:p>
        </w:tc>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380" w:type="dxa"/>
            <w:vAlign w:val="bottom"/>
          </w:tcPr>
          <w:p>
            <w:pPr>
              <w:jc w:val="center"/>
              <w:ind w:left="28"/>
              <w:spacing w:after="0" w:line="149" w:lineRule="exact"/>
              <w:rPr>
                <w:sz w:val="20"/>
                <w:szCs w:val="20"/>
                <w:color w:val="auto"/>
              </w:rPr>
            </w:pPr>
            <w:r>
              <w:rPr>
                <w:rFonts w:ascii="Times New Roman" w:cs="Times New Roman" w:eastAsia="Times New Roman" w:hAnsi="Times New Roman"/>
                <w:sz w:val="14"/>
                <w:szCs w:val="14"/>
                <w:b w:val="1"/>
                <w:bCs w:val="1"/>
                <w:color w:val="auto"/>
              </w:rPr>
              <w:t>Maximum</w:t>
            </w:r>
          </w:p>
        </w:tc>
        <w:tc>
          <w:tcPr>
            <w:tcW w:w="1900" w:type="dxa"/>
            <w:vAlign w:val="bottom"/>
            <w:vMerge w:val="restart"/>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Maximum Aggregate</w:t>
            </w: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Fee</w:t>
            </w:r>
          </w:p>
        </w:tc>
        <w:tc>
          <w:tcPr>
            <w:tcW w:w="1340" w:type="dxa"/>
            <w:vAlign w:val="bottom"/>
            <w:vMerge w:val="restart"/>
          </w:tcPr>
          <w:p>
            <w:pPr>
              <w:jc w:val="center"/>
              <w:ind w:left="248"/>
              <w:spacing w:after="0"/>
              <w:rPr>
                <w:sz w:val="20"/>
                <w:szCs w:val="20"/>
                <w:color w:val="auto"/>
              </w:rPr>
            </w:pPr>
            <w:r>
              <w:rPr>
                <w:rFonts w:ascii="Times New Roman" w:cs="Times New Roman" w:eastAsia="Times New Roman" w:hAnsi="Times New Roman"/>
                <w:sz w:val="14"/>
                <w:szCs w:val="14"/>
                <w:b w:val="1"/>
                <w:bCs w:val="1"/>
                <w:color w:val="auto"/>
              </w:rPr>
              <w:t>Amount of</w:t>
            </w:r>
          </w:p>
        </w:tc>
        <w:tc>
          <w:tcPr>
            <w:tcW w:w="0" w:type="dxa"/>
            <w:vAlign w:val="bottom"/>
          </w:tcPr>
          <w:p>
            <w:pPr>
              <w:spacing w:after="0"/>
              <w:rPr>
                <w:sz w:val="1"/>
                <w:szCs w:val="1"/>
                <w:color w:val="auto"/>
              </w:rPr>
            </w:pPr>
          </w:p>
        </w:tc>
      </w:tr>
      <w:tr>
        <w:trPr>
          <w:trHeight w:val="135"/>
        </w:trPr>
        <w:tc>
          <w:tcPr>
            <w:tcW w:w="940" w:type="dxa"/>
            <w:vAlign w:val="bottom"/>
            <w:vMerge w:val="continue"/>
          </w:tcPr>
          <w:p>
            <w:pPr>
              <w:spacing w:after="0"/>
              <w:rPr>
                <w:sz w:val="11"/>
                <w:szCs w:val="11"/>
                <w:color w:val="auto"/>
              </w:rPr>
            </w:pPr>
          </w:p>
        </w:tc>
        <w:tc>
          <w:tcPr>
            <w:tcW w:w="1500" w:type="dxa"/>
            <w:vAlign w:val="bottom"/>
            <w:vMerge w:val="continue"/>
          </w:tcPr>
          <w:p>
            <w:pPr>
              <w:spacing w:after="0"/>
              <w:rPr>
                <w:sz w:val="11"/>
                <w:szCs w:val="11"/>
                <w:color w:val="auto"/>
              </w:rPr>
            </w:pPr>
          </w:p>
        </w:tc>
        <w:tc>
          <w:tcPr>
            <w:tcW w:w="1440" w:type="dxa"/>
            <w:vAlign w:val="bottom"/>
          </w:tcPr>
          <w:p>
            <w:pPr>
              <w:jc w:val="center"/>
              <w:ind w:left="88"/>
              <w:spacing w:after="0" w:line="135" w:lineRule="exact"/>
              <w:rPr>
                <w:sz w:val="20"/>
                <w:szCs w:val="20"/>
                <w:color w:val="auto"/>
              </w:rPr>
            </w:pPr>
            <w:r>
              <w:rPr>
                <w:rFonts w:ascii="Times New Roman" w:cs="Times New Roman" w:eastAsia="Times New Roman" w:hAnsi="Times New Roman"/>
                <w:sz w:val="14"/>
                <w:szCs w:val="14"/>
                <w:b w:val="1"/>
                <w:bCs w:val="1"/>
                <w:color w:val="auto"/>
              </w:rPr>
              <w:t>Calculation</w:t>
            </w:r>
          </w:p>
        </w:tc>
        <w:tc>
          <w:tcPr>
            <w:tcW w:w="1420" w:type="dxa"/>
            <w:vAlign w:val="bottom"/>
            <w:vMerge w:val="continue"/>
          </w:tcPr>
          <w:p>
            <w:pPr>
              <w:spacing w:after="0"/>
              <w:rPr>
                <w:sz w:val="11"/>
                <w:szCs w:val="11"/>
                <w:color w:val="auto"/>
              </w:rPr>
            </w:pPr>
          </w:p>
        </w:tc>
        <w:tc>
          <w:tcPr>
            <w:tcW w:w="1380" w:type="dxa"/>
            <w:vAlign w:val="bottom"/>
          </w:tcPr>
          <w:p>
            <w:pPr>
              <w:jc w:val="center"/>
              <w:ind w:left="28"/>
              <w:spacing w:after="0" w:line="135" w:lineRule="exact"/>
              <w:rPr>
                <w:sz w:val="20"/>
                <w:szCs w:val="20"/>
                <w:color w:val="auto"/>
              </w:rPr>
            </w:pPr>
            <w:r>
              <w:rPr>
                <w:rFonts w:ascii="Times New Roman" w:cs="Times New Roman" w:eastAsia="Times New Roman" w:hAnsi="Times New Roman"/>
                <w:sz w:val="14"/>
                <w:szCs w:val="14"/>
                <w:b w:val="1"/>
                <w:bCs w:val="1"/>
                <w:color w:val="auto"/>
              </w:rPr>
              <w:t>Offering</w:t>
            </w:r>
          </w:p>
        </w:tc>
        <w:tc>
          <w:tcPr>
            <w:tcW w:w="190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13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940" w:type="dxa"/>
            <w:vAlign w:val="bottom"/>
          </w:tcPr>
          <w:p>
            <w:pPr>
              <w:jc w:val="center"/>
              <w:ind w:right="368"/>
              <w:spacing w:after="0"/>
              <w:rPr>
                <w:sz w:val="20"/>
                <w:szCs w:val="20"/>
                <w:color w:val="auto"/>
              </w:rPr>
            </w:pPr>
            <w:r>
              <w:rPr>
                <w:rFonts w:ascii="Times New Roman" w:cs="Times New Roman" w:eastAsia="Times New Roman" w:hAnsi="Times New Roman"/>
                <w:sz w:val="14"/>
                <w:szCs w:val="14"/>
                <w:b w:val="1"/>
                <w:bCs w:val="1"/>
                <w:color w:val="auto"/>
                <w:w w:val="98"/>
              </w:rPr>
              <w:t>Type</w:t>
            </w: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Class Title</w:t>
            </w:r>
          </w:p>
        </w:tc>
        <w:tc>
          <w:tcPr>
            <w:tcW w:w="1440" w:type="dxa"/>
            <w:vAlign w:val="bottom"/>
          </w:tcPr>
          <w:p>
            <w:pPr>
              <w:jc w:val="center"/>
              <w:ind w:left="88"/>
              <w:spacing w:after="0"/>
              <w:rPr>
                <w:sz w:val="20"/>
                <w:szCs w:val="20"/>
                <w:color w:val="auto"/>
              </w:rPr>
            </w:pPr>
            <w:r>
              <w:rPr>
                <w:rFonts w:ascii="Times New Roman" w:cs="Times New Roman" w:eastAsia="Times New Roman" w:hAnsi="Times New Roman"/>
                <w:sz w:val="14"/>
                <w:szCs w:val="14"/>
                <w:b w:val="1"/>
                <w:bCs w:val="1"/>
                <w:color w:val="auto"/>
                <w:w w:val="99"/>
              </w:rPr>
              <w:t>Rule</w:t>
            </w: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xml:space="preserve">Registered </w:t>
            </w:r>
            <w:r>
              <w:rPr>
                <w:rFonts w:ascii="Times New Roman" w:cs="Times New Roman" w:eastAsia="Times New Roman" w:hAnsi="Times New Roman"/>
                <w:sz w:val="9"/>
                <w:szCs w:val="9"/>
                <w:b w:val="1"/>
                <w:bCs w:val="1"/>
                <w:color w:val="auto"/>
              </w:rPr>
              <w:t>(1)</w:t>
            </w:r>
          </w:p>
        </w:tc>
        <w:tc>
          <w:tcPr>
            <w:tcW w:w="1380" w:type="dxa"/>
            <w:vAlign w:val="bottom"/>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Price Per Unit</w:t>
            </w:r>
          </w:p>
        </w:tc>
        <w:tc>
          <w:tcPr>
            <w:tcW w:w="190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Offering Price</w:t>
            </w: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Rate</w:t>
            </w:r>
          </w:p>
        </w:tc>
        <w:tc>
          <w:tcPr>
            <w:tcW w:w="1340" w:type="dxa"/>
            <w:vAlign w:val="bottom"/>
          </w:tcPr>
          <w:p>
            <w:pPr>
              <w:jc w:val="center"/>
              <w:ind w:left="268"/>
              <w:spacing w:after="0"/>
              <w:rPr>
                <w:sz w:val="20"/>
                <w:szCs w:val="20"/>
                <w:color w:val="auto"/>
              </w:rPr>
            </w:pPr>
            <w:r>
              <w:rPr>
                <w:rFonts w:ascii="Times New Roman" w:cs="Times New Roman" w:eastAsia="Times New Roman" w:hAnsi="Times New Roman"/>
                <w:sz w:val="14"/>
                <w:szCs w:val="14"/>
                <w:b w:val="1"/>
                <w:bCs w:val="1"/>
                <w:color w:val="auto"/>
              </w:rPr>
              <w:t>Registration Fee</w:t>
            </w:r>
          </w:p>
        </w:tc>
        <w:tc>
          <w:tcPr>
            <w:tcW w:w="0" w:type="dxa"/>
            <w:vAlign w:val="bottom"/>
          </w:tcPr>
          <w:p>
            <w:pPr>
              <w:spacing w:after="0"/>
              <w:rPr>
                <w:sz w:val="1"/>
                <w:szCs w:val="1"/>
                <w:color w:val="auto"/>
              </w:rPr>
            </w:pPr>
          </w:p>
        </w:tc>
      </w:tr>
    </w:tbl>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8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Equity</w:t>
            </w: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par</w:t>
            </w:r>
          </w:p>
        </w:tc>
        <w:tc>
          <w:tcPr>
            <w:tcW w:w="104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23"/>
                <w:szCs w:val="23"/>
                <w:color w:val="auto"/>
                <w:vertAlign w:val="superscript"/>
              </w:rPr>
              <w:t>(2)</w:t>
            </w:r>
          </w:p>
        </w:tc>
        <w:tc>
          <w:tcPr>
            <w:tcW w:w="166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2,500,000 shares</w:t>
            </w:r>
          </w:p>
        </w:tc>
        <w:tc>
          <w:tcPr>
            <w:tcW w:w="124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color w:val="auto"/>
              </w:rPr>
              <w:t xml:space="preserve">$27.320 </w:t>
            </w:r>
            <w:r>
              <w:rPr>
                <w:rFonts w:ascii="Times New Roman" w:cs="Times New Roman" w:eastAsia="Times New Roman" w:hAnsi="Times New Roman"/>
                <w:sz w:val="23"/>
                <w:szCs w:val="23"/>
                <w:color w:val="auto"/>
                <w:vertAlign w:val="superscript"/>
              </w:rPr>
              <w:t>(2)</w:t>
            </w:r>
          </w:p>
        </w:tc>
        <w:tc>
          <w:tcPr>
            <w:tcW w:w="1780" w:type="dxa"/>
            <w:vAlign w:val="bottom"/>
            <w:vMerge w:val="restart"/>
          </w:tcPr>
          <w:p>
            <w:pPr>
              <w:jc w:val="center"/>
              <w:ind w:right="130"/>
              <w:spacing w:after="0"/>
              <w:rPr>
                <w:sz w:val="20"/>
                <w:szCs w:val="20"/>
                <w:color w:val="auto"/>
              </w:rPr>
            </w:pPr>
            <w:r>
              <w:rPr>
                <w:rFonts w:ascii="Times New Roman" w:cs="Times New Roman" w:eastAsia="Times New Roman" w:hAnsi="Times New Roman"/>
                <w:sz w:val="18"/>
                <w:szCs w:val="18"/>
                <w:color w:val="auto"/>
              </w:rPr>
              <w:t xml:space="preserve">$68,300,000.00 </w:t>
            </w:r>
            <w:r>
              <w:rPr>
                <w:rFonts w:ascii="Times New Roman" w:cs="Times New Roman" w:eastAsia="Times New Roman" w:hAnsi="Times New Roman"/>
                <w:sz w:val="23"/>
                <w:szCs w:val="23"/>
                <w:color w:val="auto"/>
                <w:vertAlign w:val="superscript"/>
              </w:rPr>
              <w:t>(2)</w:t>
            </w:r>
          </w:p>
        </w:tc>
        <w:tc>
          <w:tcPr>
            <w:tcW w:w="144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color w:val="auto"/>
              </w:rPr>
              <w:t>0.00013810</w:t>
            </w:r>
          </w:p>
        </w:tc>
        <w:tc>
          <w:tcPr>
            <w:tcW w:w="128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rPr>
              <w:t>$9,432.23</w:t>
            </w:r>
          </w:p>
        </w:tc>
        <w:tc>
          <w:tcPr>
            <w:tcW w:w="0" w:type="dxa"/>
            <w:vAlign w:val="bottom"/>
          </w:tcPr>
          <w:p>
            <w:pPr>
              <w:spacing w:after="0"/>
              <w:rPr>
                <w:sz w:val="1"/>
                <w:szCs w:val="1"/>
                <w:color w:val="auto"/>
              </w:rPr>
            </w:pPr>
          </w:p>
        </w:tc>
      </w:tr>
      <w:tr>
        <w:trPr>
          <w:trHeight w:val="184"/>
        </w:trPr>
        <w:tc>
          <w:tcPr>
            <w:tcW w:w="780" w:type="dxa"/>
            <w:vAlign w:val="bottom"/>
            <w:vMerge w:val="continue"/>
          </w:tcPr>
          <w:p>
            <w:pPr>
              <w:spacing w:after="0"/>
              <w:rPr>
                <w:sz w:val="16"/>
                <w:szCs w:val="16"/>
                <w:color w:val="auto"/>
              </w:rPr>
            </w:pPr>
          </w:p>
        </w:tc>
        <w:tc>
          <w:tcPr>
            <w:tcW w:w="204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rPr>
              <w:t>value $0.001 per share</w:t>
            </w:r>
          </w:p>
        </w:tc>
        <w:tc>
          <w:tcPr>
            <w:tcW w:w="1040" w:type="dxa"/>
            <w:vAlign w:val="bottom"/>
            <w:vMerge w:val="continue"/>
          </w:tcPr>
          <w:p>
            <w:pPr>
              <w:spacing w:after="0"/>
              <w:rPr>
                <w:sz w:val="16"/>
                <w:szCs w:val="16"/>
                <w:color w:val="auto"/>
              </w:rPr>
            </w:pPr>
          </w:p>
        </w:tc>
        <w:tc>
          <w:tcPr>
            <w:tcW w:w="1660" w:type="dxa"/>
            <w:vAlign w:val="bottom"/>
            <w:vMerge w:val="continue"/>
          </w:tcPr>
          <w:p>
            <w:pPr>
              <w:spacing w:after="0"/>
              <w:rPr>
                <w:sz w:val="16"/>
                <w:szCs w:val="16"/>
                <w:color w:val="auto"/>
              </w:rPr>
            </w:pPr>
          </w:p>
        </w:tc>
        <w:tc>
          <w:tcPr>
            <w:tcW w:w="1240" w:type="dxa"/>
            <w:vAlign w:val="bottom"/>
            <w:vMerge w:val="continue"/>
          </w:tcPr>
          <w:p>
            <w:pPr>
              <w:spacing w:after="0"/>
              <w:rPr>
                <w:sz w:val="16"/>
                <w:szCs w:val="16"/>
                <w:color w:val="auto"/>
              </w:rPr>
            </w:pPr>
          </w:p>
        </w:tc>
        <w:tc>
          <w:tcPr>
            <w:tcW w:w="1780" w:type="dxa"/>
            <w:vAlign w:val="bottom"/>
            <w:vMerge w:val="continue"/>
          </w:tcPr>
          <w:p>
            <w:pPr>
              <w:spacing w:after="0"/>
              <w:rPr>
                <w:sz w:val="16"/>
                <w:szCs w:val="16"/>
                <w:color w:val="auto"/>
              </w:rPr>
            </w:pPr>
          </w:p>
        </w:tc>
        <w:tc>
          <w:tcPr>
            <w:tcW w:w="1440" w:type="dxa"/>
            <w:vAlign w:val="bottom"/>
            <w:vMerge w:val="continue"/>
          </w:tcPr>
          <w:p>
            <w:pPr>
              <w:spacing w:after="0"/>
              <w:rPr>
                <w:sz w:val="16"/>
                <w:szCs w:val="16"/>
                <w:color w:val="auto"/>
              </w:rPr>
            </w:pPr>
          </w:p>
        </w:tc>
        <w:tc>
          <w:tcPr>
            <w:tcW w:w="12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78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w:t>
            </w:r>
          </w:p>
        </w:tc>
        <w:tc>
          <w:tcPr>
            <w:tcW w:w="104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80" w:type="dxa"/>
            <w:vAlign w:val="bottom"/>
            <w:tcBorders>
              <w:bottom w:val="single" w:sz="8" w:color="auto"/>
            </w:tcBorders>
          </w:tcPr>
          <w:p>
            <w:pPr>
              <w:spacing w:after="0"/>
              <w:rPr>
                <w:sz w:val="19"/>
                <w:szCs w:val="19"/>
                <w:color w:val="auto"/>
              </w:rPr>
            </w:pPr>
          </w:p>
        </w:tc>
        <w:tc>
          <w:tcPr>
            <w:tcW w:w="3080" w:type="dxa"/>
            <w:vAlign w:val="bottom"/>
            <w:tcBorders>
              <w:bottom w:val="single" w:sz="8" w:color="auto"/>
            </w:tcBorders>
            <w:gridSpan w:val="2"/>
          </w:tcPr>
          <w:p>
            <w:pPr>
              <w:jc w:val="center"/>
              <w:ind w:left="859"/>
              <w:spacing w:after="0"/>
              <w:rPr>
                <w:sz w:val="20"/>
                <w:szCs w:val="20"/>
                <w:color w:val="auto"/>
              </w:rPr>
            </w:pPr>
            <w:r>
              <w:rPr>
                <w:rFonts w:ascii="Times New Roman" w:cs="Times New Roman" w:eastAsia="Times New Roman" w:hAnsi="Times New Roman"/>
                <w:sz w:val="14"/>
                <w:szCs w:val="14"/>
                <w:b w:val="1"/>
                <w:bCs w:val="1"/>
                <w:color w:val="auto"/>
              </w:rPr>
              <w:t>Total Offering Amounts</w:t>
            </w:r>
          </w:p>
        </w:tc>
        <w:tc>
          <w:tcPr>
            <w:tcW w:w="16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$68,300,000.00</w:t>
            </w:r>
          </w:p>
        </w:tc>
        <w:tc>
          <w:tcPr>
            <w:tcW w:w="14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$9,432.23</w:t>
            </w:r>
          </w:p>
        </w:tc>
        <w:tc>
          <w:tcPr>
            <w:tcW w:w="0" w:type="dxa"/>
            <w:vAlign w:val="bottom"/>
          </w:tcPr>
          <w:p>
            <w:pPr>
              <w:spacing w:after="0"/>
              <w:rPr>
                <w:sz w:val="1"/>
                <w:szCs w:val="1"/>
                <w:color w:val="auto"/>
              </w:rPr>
            </w:pPr>
          </w:p>
        </w:tc>
      </w:tr>
      <w:tr>
        <w:trPr>
          <w:trHeight w:val="223"/>
        </w:trPr>
        <w:tc>
          <w:tcPr>
            <w:tcW w:w="780" w:type="dxa"/>
            <w:vAlign w:val="bottom"/>
            <w:tcBorders>
              <w:bottom w:val="single" w:sz="8" w:color="auto"/>
            </w:tcBorders>
          </w:tcPr>
          <w:p>
            <w:pPr>
              <w:spacing w:after="0"/>
              <w:rPr>
                <w:sz w:val="19"/>
                <w:szCs w:val="19"/>
                <w:color w:val="auto"/>
              </w:rPr>
            </w:pPr>
          </w:p>
        </w:tc>
        <w:tc>
          <w:tcPr>
            <w:tcW w:w="3080" w:type="dxa"/>
            <w:vAlign w:val="bottom"/>
            <w:tcBorders>
              <w:bottom w:val="single" w:sz="8" w:color="auto"/>
            </w:tcBorders>
            <w:gridSpan w:val="2"/>
          </w:tcPr>
          <w:p>
            <w:pPr>
              <w:jc w:val="center"/>
              <w:ind w:left="859"/>
              <w:spacing w:after="0"/>
              <w:rPr>
                <w:sz w:val="20"/>
                <w:szCs w:val="20"/>
                <w:color w:val="auto"/>
              </w:rPr>
            </w:pPr>
            <w:r>
              <w:rPr>
                <w:rFonts w:ascii="Times New Roman" w:cs="Times New Roman" w:eastAsia="Times New Roman" w:hAnsi="Times New Roman"/>
                <w:sz w:val="14"/>
                <w:szCs w:val="14"/>
                <w:b w:val="1"/>
                <w:bCs w:val="1"/>
                <w:color w:val="auto"/>
              </w:rPr>
              <w:t>Total Fee Offsets</w:t>
            </w:r>
          </w:p>
        </w:tc>
        <w:tc>
          <w:tcPr>
            <w:tcW w:w="16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28"/>
        </w:trPr>
        <w:tc>
          <w:tcPr>
            <w:tcW w:w="780" w:type="dxa"/>
            <w:vAlign w:val="bottom"/>
          </w:tcPr>
          <w:p>
            <w:pPr>
              <w:spacing w:after="0"/>
              <w:rPr>
                <w:sz w:val="19"/>
                <w:szCs w:val="19"/>
                <w:color w:val="auto"/>
              </w:rPr>
            </w:pPr>
          </w:p>
        </w:tc>
        <w:tc>
          <w:tcPr>
            <w:tcW w:w="3080" w:type="dxa"/>
            <w:vAlign w:val="bottom"/>
            <w:gridSpan w:val="2"/>
          </w:tcPr>
          <w:p>
            <w:pPr>
              <w:jc w:val="center"/>
              <w:ind w:left="859"/>
              <w:spacing w:after="0"/>
              <w:rPr>
                <w:sz w:val="20"/>
                <w:szCs w:val="20"/>
                <w:color w:val="auto"/>
              </w:rPr>
            </w:pPr>
            <w:r>
              <w:rPr>
                <w:rFonts w:ascii="Times New Roman" w:cs="Times New Roman" w:eastAsia="Times New Roman" w:hAnsi="Times New Roman"/>
                <w:sz w:val="14"/>
                <w:szCs w:val="14"/>
                <w:b w:val="1"/>
                <w:bCs w:val="1"/>
                <w:color w:val="auto"/>
              </w:rPr>
              <w:t>Net Fee Due</w:t>
            </w:r>
          </w:p>
        </w:tc>
        <w:tc>
          <w:tcPr>
            <w:tcW w:w="16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$9,432.23</w:t>
            </w: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ind w:left="340" w:right="20" w:hanging="332"/>
        <w:spacing w:after="0" w:line="258" w:lineRule="auto"/>
        <w:tabs>
          <w:tab w:leader="none" w:pos="34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2,500,000 shares of Common Stock of Blackbaud, Inc. (the “Company”) are to be offered and sold under the Blackbaud, Inc. 2016 Equity and Incentive Compensation Plan Amended and Restated as of June 10, 2026 (the “Plan”). These shares are in addition to the shares previously registered on the Company’s Registration Statements on Form S-8 with respect to the Plan filed with the Securities and Exchange Commission on June 16, 2016 (Registration Statement No. 333-212057 registering 7,500,000 shares), on June 14, 2019 (Registration Statement No. 333-232111 registering 7,500,000 shares), on June 11, 2021 (Registration Statement No. 333-257030 registering 1,500,000 shares), on June 10, 2022 (Registration Statement No. 333-265527 registering 1,400,000 shares), on June 15, 2023 (Registration Statement No. 333-272678 registering 2,100,000 shares), on June 14, 2024 (Registration Statement No. 333-280223 registering 2,060,000 shares) and on June 13, 2025 (Registration Statement No. 333-288027 registering 1,450,000 shares) (collectively, the “Prior Registration Statements”). This Registration Statement relates to securities of the same class as that to which the Prior Registration Statements relate.</w:t>
      </w:r>
    </w:p>
    <w:p>
      <w:pPr>
        <w:spacing w:after="0" w:line="226" w:lineRule="exact"/>
        <w:rPr>
          <w:rFonts w:ascii="Times New Roman" w:cs="Times New Roman" w:eastAsia="Times New Roman" w:hAnsi="Times New Roman"/>
          <w:sz w:val="16"/>
          <w:szCs w:val="16"/>
          <w:color w:val="auto"/>
        </w:rPr>
      </w:pPr>
    </w:p>
    <w:p>
      <w:pPr>
        <w:jc w:val="both"/>
        <w:ind w:left="340" w:right="20"/>
        <w:spacing w:after="0" w:line="263"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Pursuant to Rule 416(a) of the Securities Act of 1933, as amended (the “Securities Act”), this Registration Statement shall also cover an indeterminate amount of additional shares of Common Stock that may become issuable under the above-named plan by reason of any stock dividend, stock split, recapitalization or other similar transaction effected without receipt of consideration that increases the number of outstanding shares of Common Stock.</w:t>
      </w:r>
    </w:p>
    <w:p>
      <w:pPr>
        <w:spacing w:after="0" w:line="218" w:lineRule="exact"/>
        <w:rPr>
          <w:rFonts w:ascii="Times New Roman" w:cs="Times New Roman" w:eastAsia="Times New Roman" w:hAnsi="Times New Roman"/>
          <w:sz w:val="16"/>
          <w:szCs w:val="16"/>
          <w:color w:val="auto"/>
        </w:rPr>
      </w:pPr>
    </w:p>
    <w:p>
      <w:pPr>
        <w:ind w:left="340" w:right="40" w:hanging="332"/>
        <w:spacing w:after="0" w:line="280" w:lineRule="auto"/>
        <w:tabs>
          <w:tab w:leader="none" w:pos="34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Estimated solely for the purpose of calculating the registration fee pursuant to Rule 457(c) and (h) promulgated under the Securities Act on the basis of $27.320 per share, the average of the high and low prices of the Common Stock on June 9, 2026, as reported on The Nasdaq Global Select Market.</w:t>
      </w:r>
    </w:p>
    <w:p>
      <w:pPr>
        <w:sectPr>
          <w:pgSz w:w="11900" w:h="16838" w:orient="portrait"/>
          <w:cols w:equalWidth="0" w:num="1">
            <w:col w:w="11260"/>
          </w:cols>
          <w:pgMar w:left="320" w:top="104" w:right="31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[Parker Poe Adams &amp; Bernstein LLP Letterhead]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12, 2026</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Blackbaud,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65 Fairchild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Charleston, South Carolina 29492</w:t>
      </w:r>
    </w:p>
    <w:p>
      <w:pPr>
        <w:spacing w:after="0" w:line="230" w:lineRule="exact"/>
        <w:rPr>
          <w:sz w:val="20"/>
          <w:szCs w:val="20"/>
          <w:color w:val="auto"/>
        </w:rPr>
      </w:pPr>
    </w:p>
    <w:p>
      <w:pPr>
        <w:ind w:left="860" w:hanging="485"/>
        <w:spacing w:after="0" w:line="286" w:lineRule="auto"/>
        <w:tabs>
          <w:tab w:leader="none" w:pos="840" w:val="left"/>
        </w:tabs>
        <w:rPr>
          <w:sz w:val="20"/>
          <w:szCs w:val="20"/>
          <w:color w:val="auto"/>
        </w:rPr>
      </w:pPr>
      <w:r>
        <w:rPr>
          <w:rFonts w:ascii="Times New Roman" w:cs="Times New Roman" w:eastAsia="Times New Roman" w:hAnsi="Times New Roman"/>
          <w:sz w:val="18"/>
          <w:szCs w:val="18"/>
          <w:b w:val="1"/>
          <w:bCs w:val="1"/>
          <w:i w:val="1"/>
          <w:iCs w:val="1"/>
          <w:color w:val="auto"/>
        </w:rPr>
        <w:t>Re:</w:t>
        <w:tab/>
        <w:t>Common Stock Issuable Under the Blackbaud, Inc. 2016 Equity and Incentive Compensation Plan Amended and Restated as of June 10, 2026</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5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are acting as counsel to Blackbaud, Inc., a Delaware corporation (the “</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in connection with the preparation, execution, filing and processing with the U.S. Securities and Exchange Commission (the “</w:t>
      </w:r>
      <w:r>
        <w:rPr>
          <w:rFonts w:ascii="Times New Roman" w:cs="Times New Roman" w:eastAsia="Times New Roman" w:hAnsi="Times New Roman"/>
          <w:sz w:val="18"/>
          <w:szCs w:val="18"/>
          <w:i w:val="1"/>
          <w:iCs w:val="1"/>
          <w:color w:val="auto"/>
        </w:rPr>
        <w:t>Commission</w:t>
      </w:r>
      <w:r>
        <w:rPr>
          <w:rFonts w:ascii="Times New Roman" w:cs="Times New Roman" w:eastAsia="Times New Roman" w:hAnsi="Times New Roman"/>
          <w:sz w:val="18"/>
          <w:szCs w:val="18"/>
          <w:color w:val="auto"/>
        </w:rPr>
        <w:t>”), pursuant to the Securities Act of 1933, as amended (the “</w:t>
      </w:r>
      <w:r>
        <w:rPr>
          <w:rFonts w:ascii="Times New Roman" w:cs="Times New Roman" w:eastAsia="Times New Roman" w:hAnsi="Times New Roman"/>
          <w:sz w:val="18"/>
          <w:szCs w:val="18"/>
          <w:i w:val="1"/>
          <w:iCs w:val="1"/>
          <w:color w:val="auto"/>
        </w:rPr>
        <w:t>Act</w:t>
      </w:r>
      <w:r>
        <w:rPr>
          <w:rFonts w:ascii="Times New Roman" w:cs="Times New Roman" w:eastAsia="Times New Roman" w:hAnsi="Times New Roman"/>
          <w:sz w:val="18"/>
          <w:szCs w:val="18"/>
          <w:color w:val="auto"/>
        </w:rPr>
        <w:t>”), of a Registration Statement on Form S-8 (the “</w:t>
      </w:r>
      <w:r>
        <w:rPr>
          <w:rFonts w:ascii="Times New Roman" w:cs="Times New Roman" w:eastAsia="Times New Roman" w:hAnsi="Times New Roman"/>
          <w:sz w:val="18"/>
          <w:szCs w:val="18"/>
          <w:i w:val="1"/>
          <w:iCs w:val="1"/>
          <w:color w:val="auto"/>
        </w:rPr>
        <w:t>Registration Statement</w:t>
      </w:r>
      <w:r>
        <w:rPr>
          <w:rFonts w:ascii="Times New Roman" w:cs="Times New Roman" w:eastAsia="Times New Roman" w:hAnsi="Times New Roman"/>
          <w:sz w:val="18"/>
          <w:szCs w:val="18"/>
          <w:color w:val="auto"/>
        </w:rPr>
        <w:t>”) relating to the issuance by the Company of 2,500,000 shares (the “</w:t>
      </w:r>
      <w:r>
        <w:rPr>
          <w:rFonts w:ascii="Times New Roman" w:cs="Times New Roman" w:eastAsia="Times New Roman" w:hAnsi="Times New Roman"/>
          <w:sz w:val="18"/>
          <w:szCs w:val="18"/>
          <w:i w:val="1"/>
          <w:iCs w:val="1"/>
          <w:color w:val="auto"/>
        </w:rPr>
        <w:t>Shares</w:t>
      </w:r>
      <w:r>
        <w:rPr>
          <w:rFonts w:ascii="Times New Roman" w:cs="Times New Roman" w:eastAsia="Times New Roman" w:hAnsi="Times New Roman"/>
          <w:sz w:val="18"/>
          <w:szCs w:val="18"/>
          <w:color w:val="auto"/>
        </w:rPr>
        <w:t>”) of common stock, par value $0.001 per share (the “</w:t>
      </w:r>
      <w:r>
        <w:rPr>
          <w:rFonts w:ascii="Times New Roman" w:cs="Times New Roman" w:eastAsia="Times New Roman" w:hAnsi="Times New Roman"/>
          <w:sz w:val="18"/>
          <w:szCs w:val="18"/>
          <w:i w:val="1"/>
          <w:iCs w:val="1"/>
          <w:color w:val="auto"/>
        </w:rPr>
        <w:t>Common Stock</w:t>
      </w:r>
      <w:r>
        <w:rPr>
          <w:rFonts w:ascii="Times New Roman" w:cs="Times New Roman" w:eastAsia="Times New Roman" w:hAnsi="Times New Roman"/>
          <w:sz w:val="18"/>
          <w:szCs w:val="18"/>
          <w:color w:val="auto"/>
        </w:rPr>
        <w:t>”), pursuant to the Blackbaud, Inc. 2016 Equity and Incentive Compensation Plan Amended and Restated as of June 10, 2026 (the “</w:t>
      </w:r>
      <w:r>
        <w:rPr>
          <w:rFonts w:ascii="Times New Roman" w:cs="Times New Roman" w:eastAsia="Times New Roman" w:hAnsi="Times New Roman"/>
          <w:sz w:val="18"/>
          <w:szCs w:val="18"/>
          <w:i w:val="1"/>
          <w:iCs w:val="1"/>
          <w:color w:val="auto"/>
        </w:rPr>
        <w:t>Plan</w:t>
      </w:r>
      <w:r>
        <w:rPr>
          <w:rFonts w:ascii="Times New Roman" w:cs="Times New Roman" w:eastAsia="Times New Roman" w:hAnsi="Times New Roman"/>
          <w:sz w:val="18"/>
          <w:szCs w:val="18"/>
          <w:color w:val="auto"/>
        </w:rPr>
        <w:t>”). This opinion is furnished to you for filing with the Commission pursuant to Item 601(b)(5) of Regulation S-K promulgated under the Act, and no opinion is expressed herein as to any matter pertaining to the contents of the Registration Statement or the related Prospectus, other than as expressly stated herein with respect to the issuance of the Shares.</w:t>
      </w:r>
    </w:p>
    <w:p>
      <w:pPr>
        <w:spacing w:after="0" w:line="21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our representation of the Company, we have examined the Registration Statement, the Plan, the Company’s Amended and Restated Certificate of Incorporation and Amended and Restated Bylaws, each as amended to date, certain actions of the Company’s Board of Directors and such other documents as we have considered necessary for purposes of rendering the opinion expressed below.</w:t>
      </w:r>
    </w:p>
    <w:p>
      <w:pPr>
        <w:spacing w:after="0" w:line="20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Based upon the foregoing, and subject to the qualifications, assumptions and limitations stated herein, we are of the opinion that (i) the Shares have been duly authorized for issuance, and (ii) subject to the Registration Statement becoming effective under the Act, compliance with any applicable Blue Sky laws and the issuance of the Shares in accordance with the provisions of the Plan, the Shares, when issued, will be legally issued, fully paid and non-assessable shares of Common Stock of the Company.</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opinions expressed herein are limited to the laws of the State of North Carolina, the Delaware General Corporation Law and applicable provisions of the Delaware Constitution and reported judicial decisions interpreting these laws and the Act.</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hereby consent to the use of this opinion letter as Exhibit 5.1 to the Registration Statement. In giving this consent, we do not admit that we are in the category of persons whose consent is required under Section 7 of the Act or the rules and regulations of the Commission promulgated thereunder. Our opinions expressed herein are as of the date hereof, and we undertake no obligation to advise you of any changes in applicable law or any other matters that may come to our attention after the date hereof that may affect our opinions expressed herein.</w:t>
      </w:r>
    </w:p>
    <w:p>
      <w:pPr>
        <w:spacing w:after="0" w:line="247"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color w:val="auto"/>
        </w:rPr>
        <w:t>Sincerely yours,</w:t>
      </w:r>
    </w:p>
    <w:p>
      <w:pPr>
        <w:spacing w:after="0" w:line="200" w:lineRule="exact"/>
        <w:rPr>
          <w:sz w:val="20"/>
          <w:szCs w:val="20"/>
          <w:color w:val="auto"/>
        </w:rPr>
      </w:pPr>
    </w:p>
    <w:p>
      <w:pPr>
        <w:spacing w:after="0" w:line="282"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color w:val="auto"/>
        </w:rPr>
        <w:t>/s/ Parker Poe Adams &amp; Bernstein LLP</w:t>
      </w:r>
    </w:p>
    <w:p>
      <w:pPr>
        <w:sectPr>
          <w:pgSz w:w="11900" w:h="16838" w:orient="portrait"/>
          <w:cols w:equalWidth="0" w:num="1">
            <w:col w:w="11240"/>
          </w:cols>
          <w:pgMar w:left="320" w:top="117" w:right="33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CONSENT OF INDEPENDENT REGISTERED PUBLIC ACCOUNTING FIRM</w:t>
      </w:r>
    </w:p>
    <w:p>
      <w:pPr>
        <w:spacing w:after="0" w:line="239" w:lineRule="exact"/>
        <w:rPr>
          <w:sz w:val="20"/>
          <w:szCs w:val="20"/>
          <w:color w:val="auto"/>
        </w:rPr>
      </w:pPr>
    </w:p>
    <w:p>
      <w:pPr>
        <w:jc w:val="both"/>
        <w:spacing w:after="0" w:line="204" w:lineRule="exact"/>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 (Form S-8) pertaining to the Blackbaud, Inc. 2016 Equity And Incentive Compensation Plan Amended and Restated as of June 10, 2026 of our reports dated February 18, 2026 with respect to the consolidated financial statements of Blackbaud, Inc. and the effectiveness of internal control over financial reporting of Blackbaud, Inc. included in its Annual Report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for the year ended December 31, 2025, filed with the Securities and Exchange Commission.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Raleigh, North Carolina</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12, 2026</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2">
    <w:nsid w:val="625558EC"/>
    <w:multiLevelType w:val="hybridMultilevel"/>
    <w:lvl w:ilvl="0">
      <w:lvlJc w:val="left"/>
      <w:lvlText w:val="%1"/>
      <w:numFmt w:val="lowerLetter"/>
      <w:start w:val="1"/>
    </w:lvl>
    <w:lvl w:ilvl="1">
      <w:lvlJc w:val="left"/>
      <w:lvlText w:val="(%2)"/>
      <w:numFmt w:val="decimal"/>
      <w:start w:val="2"/>
    </w:lvl>
  </w:abstractNum>
  <w:abstractNum w:abstractNumId="3">
    <w:nsid w:val="238E1F29"/>
    <w:multiLevelType w:val="hybridMultilevel"/>
    <w:lvl w:ilvl="0">
      <w:lvlJc w:val="left"/>
      <w:lvlText w:val="(%1)"/>
      <w:numFmt w:val="lowerLetter"/>
      <w:start w:val="2"/>
    </w:lvl>
    <w:lvl w:ilvl="1">
      <w:lvlJc w:val="left"/>
      <w:lvlText w:val="%2"/>
      <w:numFmt w:val="decimal"/>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7" Type="http://schemas.openxmlformats.org/officeDocument/2006/relationships/image" Target="media/image3.png"/><Relationship Id="rId18" Type="http://schemas.openxmlformats.org/officeDocument/2006/relationships/image" Target="media/image4.png"/><Relationship Id="rId10" Type="http://schemas.openxmlformats.org/officeDocument/2006/relationships/hyperlink" Target="https://www.sec.gov/ix?doc=/Archives/edgar/data/1280058/000128005826000006/blkb-20251231.htm" TargetMode="External"/><Relationship Id="rId11" Type="http://schemas.openxmlformats.org/officeDocument/2006/relationships/hyperlink" Target="https://www.sec.gov/ix?doc=/Archives/edgar/data/1280058/000128005826000016/blkb-20260331.htm" TargetMode="External"/><Relationship Id="rId12" Type="http://schemas.openxmlformats.org/officeDocument/2006/relationships/hyperlink" Target="https://www.sec.gov/ix?doc=/Archives/edgar/data/1280058/000128005826000009/blkb-20260418.htm" TargetMode="External"/><Relationship Id="rId13" Type="http://schemas.openxmlformats.org/officeDocument/2006/relationships/hyperlink" Target="https://www.sec.gov/ix?doc=/Archives/edgar/data/1280058/000128005826000018/blkb-20260610.htm" TargetMode="External"/><Relationship Id="rId14" Type="http://schemas.openxmlformats.org/officeDocument/2006/relationships/hyperlink" Target="https://www.sec.gov/Archives/edgar/data/1280058/000095014404001547/g872698ae8va12g.htm" TargetMode="External"/><Relationship Id="rId15" Type="http://schemas.openxmlformats.org/officeDocument/2006/relationships/hyperlink" Target="https://www.sec.gov/Archives/edgar/data/1280058/000128005826000006/blkb202510-kexx41.htm" TargetMode="External"/><Relationship Id="rId16" Type="http://schemas.openxmlformats.org/officeDocument/2006/relationships/hyperlink" Target="https://www.sec.gov/ix?doc=/Archives/edgar/data/1280058/000128005826000009/blkb-20260418.htm#iae063f0d67b6438eb6b83e9f08ea86ce_34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2026-06-12T15:09:23Z</dcterms:created>
  <dcterms:modified xsi:type="dcterms:W3CDTF">2026-06-12T15:09:23Z</dcterms:modified>
</cp:coreProperties>
</file>