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962024.xml.htm"/>
      <w:bookmarkStart w:id="1" w:name="kswkform4_178596202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DeFiore Deneen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 FAIRCHILD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CHARLESTON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29492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BLACKBAUD INC</w:t>
              </w:r>
            </w:hyperlink>
            <w:r>
              <w:rPr/>
              <w:t xml:space="preserve"> [ </w:t>
            </w:r>
            <w:r>
              <w:rPr>
                <w:rFonts w:ascii="Times;serif" w:hAnsi="Times;serif"/>
                <w:color w:val="0000FF"/>
                <w:sz w:val="24"/>
                <w:shd w:fill="FFFFFF" w:val="clear"/>
              </w:rPr>
              <w:t>BLKB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7,834</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17,903</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restricted stock award, all of which shall vest on August 3, 2027 or, if earlier, immediately prior to the 2027 annual election of directors of the Company, provided that the reporting person is then serving as a director of the Company.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 Halle Vakani,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41042" TargetMode="External"/><Relationship Id="rId5" Type="http://schemas.openxmlformats.org/officeDocument/2006/relationships/hyperlink" Target="http://www.sec.gov/cgi-bin/browse-edgar?action=getcompany&amp;CIK=00012800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603</Words>
  <Characters>3261</Characters>
  <CharactersWithSpaces>3797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